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16" w:rsidRDefault="00F37016" w:rsidP="00F37016">
      <w:pPr>
        <w:spacing w:after="0" w:line="240" w:lineRule="auto"/>
        <w:jc w:val="center"/>
        <w:rPr>
          <w:rFonts w:ascii="Arial" w:hAnsi="Arial" w:cs="Arial"/>
          <w:b/>
          <w:sz w:val="24"/>
          <w:szCs w:val="24"/>
        </w:rPr>
      </w:pPr>
      <w:r>
        <w:rPr>
          <w:rFonts w:ascii="Arial" w:hAnsi="Arial" w:cs="Arial"/>
          <w:b/>
          <w:sz w:val="24"/>
          <w:szCs w:val="24"/>
        </w:rPr>
        <w:t>REVISION INFORME ANUAL 2015</w:t>
      </w:r>
    </w:p>
    <w:p w:rsidR="00F37016" w:rsidRPr="00F37016" w:rsidRDefault="00F37016" w:rsidP="00F37016">
      <w:pPr>
        <w:spacing w:after="0" w:line="240" w:lineRule="auto"/>
        <w:rPr>
          <w:rFonts w:ascii="Arial" w:hAnsi="Arial" w:cs="Arial"/>
          <w:b/>
          <w:sz w:val="24"/>
          <w:szCs w:val="24"/>
        </w:rPr>
      </w:pPr>
    </w:p>
    <w:p w:rsidR="004D422F" w:rsidRPr="00F37016" w:rsidRDefault="004D422F" w:rsidP="00F37016">
      <w:pPr>
        <w:pStyle w:val="Prrafodelista"/>
        <w:numPr>
          <w:ilvl w:val="0"/>
          <w:numId w:val="12"/>
        </w:numPr>
        <w:spacing w:after="0" w:line="240" w:lineRule="auto"/>
        <w:rPr>
          <w:rFonts w:ascii="Arial" w:hAnsi="Arial" w:cs="Arial"/>
          <w:b/>
          <w:sz w:val="24"/>
          <w:szCs w:val="24"/>
        </w:rPr>
      </w:pPr>
      <w:r w:rsidRPr="00F37016">
        <w:rPr>
          <w:rFonts w:ascii="Arial" w:hAnsi="Arial" w:cs="Arial"/>
          <w:b/>
          <w:sz w:val="24"/>
          <w:szCs w:val="24"/>
        </w:rPr>
        <w:t>Marco Legal</w:t>
      </w:r>
    </w:p>
    <w:p w:rsidR="00F37016" w:rsidRDefault="00F37016" w:rsidP="00F37016">
      <w:pPr>
        <w:spacing w:after="0" w:line="240" w:lineRule="auto"/>
        <w:rPr>
          <w:rFonts w:ascii="Arial" w:hAnsi="Arial" w:cs="Arial"/>
          <w:b/>
          <w:sz w:val="24"/>
          <w:szCs w:val="24"/>
        </w:rPr>
      </w:pPr>
    </w:p>
    <w:p w:rsidR="00AA38D6" w:rsidRPr="00AA38D6" w:rsidRDefault="00AA38D6" w:rsidP="00523C2C">
      <w:pPr>
        <w:pStyle w:val="Prrafodelista"/>
        <w:ind w:left="0" w:right="-518"/>
        <w:jc w:val="both"/>
        <w:rPr>
          <w:rFonts w:ascii="Arial" w:eastAsia="Arial" w:hAnsi="Arial" w:cs="Arial"/>
          <w:sz w:val="24"/>
          <w:szCs w:val="24"/>
        </w:rPr>
      </w:pPr>
      <w:r w:rsidRPr="00AA38D6">
        <w:rPr>
          <w:rFonts w:ascii="Arial" w:eastAsia="Arial" w:hAnsi="Arial" w:cs="Arial"/>
          <w:sz w:val="24"/>
          <w:szCs w:val="24"/>
        </w:rPr>
        <w:t xml:space="preserve">La </w:t>
      </w:r>
      <w:r w:rsidRPr="00AA38D6">
        <w:rPr>
          <w:rFonts w:ascii="Arial" w:eastAsia="Arial" w:hAnsi="Arial" w:cs="Arial"/>
          <w:spacing w:val="2"/>
          <w:sz w:val="24"/>
          <w:szCs w:val="24"/>
        </w:rPr>
        <w:t>U</w:t>
      </w:r>
      <w:r w:rsidRPr="00AA38D6">
        <w:rPr>
          <w:rFonts w:ascii="Arial" w:eastAsia="Arial" w:hAnsi="Arial" w:cs="Arial"/>
          <w:sz w:val="24"/>
          <w:szCs w:val="24"/>
        </w:rPr>
        <w:t>n</w:t>
      </w:r>
      <w:r w:rsidRPr="00AA38D6">
        <w:rPr>
          <w:rFonts w:ascii="Arial" w:eastAsia="Arial" w:hAnsi="Arial" w:cs="Arial"/>
          <w:spacing w:val="-1"/>
          <w:sz w:val="24"/>
          <w:szCs w:val="24"/>
        </w:rPr>
        <w:t>i</w:t>
      </w:r>
      <w:r w:rsidRPr="00AA38D6">
        <w:rPr>
          <w:rFonts w:ascii="Arial" w:eastAsia="Arial" w:hAnsi="Arial" w:cs="Arial"/>
          <w:spacing w:val="2"/>
          <w:sz w:val="24"/>
          <w:szCs w:val="24"/>
        </w:rPr>
        <w:t>d</w:t>
      </w:r>
      <w:r w:rsidRPr="00AA38D6">
        <w:rPr>
          <w:rFonts w:ascii="Arial" w:eastAsia="Arial" w:hAnsi="Arial" w:cs="Arial"/>
          <w:sz w:val="24"/>
          <w:szCs w:val="24"/>
        </w:rPr>
        <w:t xml:space="preserve">ad </w:t>
      </w:r>
      <w:r w:rsidRPr="00AA38D6">
        <w:rPr>
          <w:rFonts w:ascii="Arial" w:eastAsia="Arial" w:hAnsi="Arial" w:cs="Arial"/>
          <w:spacing w:val="3"/>
          <w:sz w:val="24"/>
          <w:szCs w:val="24"/>
        </w:rPr>
        <w:t>T</w:t>
      </w:r>
      <w:r w:rsidRPr="00AA38D6">
        <w:rPr>
          <w:rFonts w:ascii="Arial" w:eastAsia="Arial" w:hAnsi="Arial" w:cs="Arial"/>
          <w:sz w:val="24"/>
          <w:szCs w:val="24"/>
        </w:rPr>
        <w:t>é</w:t>
      </w:r>
      <w:r w:rsidRPr="00AA38D6">
        <w:rPr>
          <w:rFonts w:ascii="Arial" w:eastAsia="Arial" w:hAnsi="Arial" w:cs="Arial"/>
          <w:spacing w:val="1"/>
          <w:sz w:val="24"/>
          <w:szCs w:val="24"/>
        </w:rPr>
        <w:t>c</w:t>
      </w:r>
      <w:r w:rsidRPr="00AA38D6">
        <w:rPr>
          <w:rFonts w:ascii="Arial" w:eastAsia="Arial" w:hAnsi="Arial" w:cs="Arial"/>
          <w:sz w:val="24"/>
          <w:szCs w:val="24"/>
        </w:rPr>
        <w:t>n</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a de F</w:t>
      </w:r>
      <w:r w:rsidRPr="00AA38D6">
        <w:rPr>
          <w:rFonts w:ascii="Arial" w:eastAsia="Arial" w:hAnsi="Arial" w:cs="Arial"/>
          <w:spacing w:val="1"/>
          <w:sz w:val="24"/>
          <w:szCs w:val="24"/>
        </w:rPr>
        <w:t>isc</w:t>
      </w:r>
      <w:r w:rsidRPr="00AA38D6">
        <w:rPr>
          <w:rFonts w:ascii="Arial" w:eastAsia="Arial" w:hAnsi="Arial" w:cs="Arial"/>
          <w:sz w:val="24"/>
          <w:szCs w:val="24"/>
        </w:rPr>
        <w:t>a</w:t>
      </w:r>
      <w:r w:rsidRPr="00AA38D6">
        <w:rPr>
          <w:rFonts w:ascii="Arial" w:eastAsia="Arial" w:hAnsi="Arial" w:cs="Arial"/>
          <w:spacing w:val="-1"/>
          <w:sz w:val="24"/>
          <w:szCs w:val="24"/>
        </w:rPr>
        <w:t>l</w:t>
      </w:r>
      <w:r w:rsidRPr="00AA38D6">
        <w:rPr>
          <w:rFonts w:ascii="Arial" w:eastAsia="Arial" w:hAnsi="Arial" w:cs="Arial"/>
          <w:spacing w:val="1"/>
          <w:sz w:val="24"/>
          <w:szCs w:val="24"/>
        </w:rPr>
        <w:t>i</w:t>
      </w:r>
      <w:r w:rsidRPr="00AA38D6">
        <w:rPr>
          <w:rFonts w:ascii="Arial" w:eastAsia="Arial" w:hAnsi="Arial" w:cs="Arial"/>
          <w:spacing w:val="-1"/>
          <w:sz w:val="24"/>
          <w:szCs w:val="24"/>
        </w:rPr>
        <w:t>z</w:t>
      </w:r>
      <w:r w:rsidRPr="00AA38D6">
        <w:rPr>
          <w:rFonts w:ascii="Arial" w:eastAsia="Arial" w:hAnsi="Arial" w:cs="Arial"/>
          <w:sz w:val="24"/>
          <w:szCs w:val="24"/>
        </w:rPr>
        <w:t>a</w:t>
      </w:r>
      <w:r w:rsidRPr="00AA38D6">
        <w:rPr>
          <w:rFonts w:ascii="Arial" w:eastAsia="Arial" w:hAnsi="Arial" w:cs="Arial"/>
          <w:spacing w:val="1"/>
          <w:sz w:val="24"/>
          <w:szCs w:val="24"/>
        </w:rPr>
        <w:t>c</w:t>
      </w:r>
      <w:r w:rsidRPr="00AA38D6">
        <w:rPr>
          <w:rFonts w:ascii="Arial" w:eastAsia="Arial" w:hAnsi="Arial" w:cs="Arial"/>
          <w:spacing w:val="-1"/>
          <w:sz w:val="24"/>
          <w:szCs w:val="24"/>
        </w:rPr>
        <w:t>i</w:t>
      </w:r>
      <w:r w:rsidRPr="00AA38D6">
        <w:rPr>
          <w:rFonts w:ascii="Arial" w:eastAsia="Arial" w:hAnsi="Arial" w:cs="Arial"/>
          <w:spacing w:val="2"/>
          <w:sz w:val="24"/>
          <w:szCs w:val="24"/>
        </w:rPr>
        <w:t xml:space="preserve">ón </w:t>
      </w:r>
      <w:r w:rsidRPr="00AA38D6">
        <w:rPr>
          <w:rFonts w:ascii="Arial" w:eastAsia="Arial" w:hAnsi="Arial" w:cs="Arial"/>
          <w:spacing w:val="1"/>
          <w:sz w:val="24"/>
          <w:szCs w:val="24"/>
        </w:rPr>
        <w:t>r</w:t>
      </w:r>
      <w:r w:rsidRPr="00AA38D6">
        <w:rPr>
          <w:rFonts w:ascii="Arial" w:eastAsia="Arial" w:hAnsi="Arial" w:cs="Arial"/>
          <w:spacing w:val="2"/>
          <w:sz w:val="24"/>
          <w:szCs w:val="24"/>
        </w:rPr>
        <w:t>e</w:t>
      </w:r>
      <w:r w:rsidRPr="00AA38D6">
        <w:rPr>
          <w:rFonts w:ascii="Arial" w:eastAsia="Arial" w:hAnsi="Arial" w:cs="Arial"/>
          <w:spacing w:val="-1"/>
          <w:sz w:val="24"/>
          <w:szCs w:val="24"/>
        </w:rPr>
        <w:t>vi</w:t>
      </w:r>
      <w:r w:rsidRPr="00AA38D6">
        <w:rPr>
          <w:rFonts w:ascii="Arial" w:eastAsia="Arial" w:hAnsi="Arial" w:cs="Arial"/>
          <w:spacing w:val="1"/>
          <w:sz w:val="24"/>
          <w:szCs w:val="24"/>
        </w:rPr>
        <w:t>só</w:t>
      </w:r>
      <w:r w:rsidRPr="00AA38D6">
        <w:rPr>
          <w:rFonts w:ascii="Arial" w:eastAsia="Arial" w:hAnsi="Arial" w:cs="Arial"/>
          <w:sz w:val="24"/>
          <w:szCs w:val="24"/>
        </w:rPr>
        <w:t xml:space="preserve"> </w:t>
      </w:r>
      <w:r w:rsidRPr="00AA38D6">
        <w:rPr>
          <w:rFonts w:ascii="Arial" w:eastAsia="Arial" w:hAnsi="Arial" w:cs="Arial"/>
          <w:spacing w:val="1"/>
          <w:sz w:val="24"/>
          <w:szCs w:val="24"/>
        </w:rPr>
        <w:t>l</w:t>
      </w:r>
      <w:r w:rsidRPr="00AA38D6">
        <w:rPr>
          <w:rFonts w:ascii="Arial" w:eastAsia="Arial" w:hAnsi="Arial" w:cs="Arial"/>
          <w:sz w:val="24"/>
          <w:szCs w:val="24"/>
        </w:rPr>
        <w:t xml:space="preserve">os </w:t>
      </w:r>
      <w:r w:rsidRPr="00AA38D6">
        <w:rPr>
          <w:rFonts w:ascii="Arial" w:eastAsia="Arial" w:hAnsi="Arial" w:cs="Arial"/>
          <w:spacing w:val="2"/>
          <w:sz w:val="24"/>
          <w:szCs w:val="24"/>
        </w:rPr>
        <w:t>I</w:t>
      </w:r>
      <w:r w:rsidRPr="00AA38D6">
        <w:rPr>
          <w:rFonts w:ascii="Arial" w:eastAsia="Arial" w:hAnsi="Arial" w:cs="Arial"/>
          <w:sz w:val="24"/>
          <w:szCs w:val="24"/>
        </w:rPr>
        <w:t>n</w:t>
      </w:r>
      <w:r w:rsidRPr="00AA38D6">
        <w:rPr>
          <w:rFonts w:ascii="Arial" w:eastAsia="Arial" w:hAnsi="Arial" w:cs="Arial"/>
          <w:spacing w:val="2"/>
          <w:sz w:val="24"/>
          <w:szCs w:val="24"/>
        </w:rPr>
        <w:t>f</w:t>
      </w:r>
      <w:r w:rsidRPr="00AA38D6">
        <w:rPr>
          <w:rFonts w:ascii="Arial" w:eastAsia="Arial" w:hAnsi="Arial" w:cs="Arial"/>
          <w:sz w:val="24"/>
          <w:szCs w:val="24"/>
        </w:rPr>
        <w:t>o</w:t>
      </w:r>
      <w:r w:rsidRPr="00AA38D6">
        <w:rPr>
          <w:rFonts w:ascii="Arial" w:eastAsia="Arial" w:hAnsi="Arial" w:cs="Arial"/>
          <w:spacing w:val="-2"/>
          <w:sz w:val="24"/>
          <w:szCs w:val="24"/>
        </w:rPr>
        <w:t>r</w:t>
      </w:r>
      <w:r w:rsidRPr="00AA38D6">
        <w:rPr>
          <w:rFonts w:ascii="Arial" w:eastAsia="Arial" w:hAnsi="Arial" w:cs="Arial"/>
          <w:spacing w:val="4"/>
          <w:sz w:val="24"/>
          <w:szCs w:val="24"/>
        </w:rPr>
        <w:t>m</w:t>
      </w:r>
      <w:r w:rsidRPr="00AA38D6">
        <w:rPr>
          <w:rFonts w:ascii="Arial" w:eastAsia="Arial" w:hAnsi="Arial" w:cs="Arial"/>
          <w:sz w:val="24"/>
          <w:szCs w:val="24"/>
        </w:rPr>
        <w:t xml:space="preserve">es </w:t>
      </w:r>
      <w:r w:rsidRPr="00AA38D6">
        <w:rPr>
          <w:rFonts w:ascii="Arial" w:eastAsia="Arial" w:hAnsi="Arial" w:cs="Arial"/>
          <w:spacing w:val="4"/>
          <w:sz w:val="24"/>
          <w:szCs w:val="24"/>
        </w:rPr>
        <w:t xml:space="preserve">Anuales </w:t>
      </w:r>
      <w:r w:rsidR="005C4D11">
        <w:rPr>
          <w:rFonts w:ascii="Arial" w:eastAsia="Arial" w:hAnsi="Arial" w:cs="Arial"/>
          <w:spacing w:val="4"/>
          <w:sz w:val="24"/>
          <w:szCs w:val="24"/>
        </w:rPr>
        <w:t xml:space="preserve">correspondientes al ejercicio 2015, </w:t>
      </w:r>
      <w:r w:rsidRPr="00AA38D6">
        <w:rPr>
          <w:rFonts w:ascii="Arial" w:eastAsia="Arial" w:hAnsi="Arial" w:cs="Arial"/>
          <w:sz w:val="24"/>
          <w:szCs w:val="24"/>
        </w:rPr>
        <w:t>q</w:t>
      </w:r>
      <w:r w:rsidRPr="00AA38D6">
        <w:rPr>
          <w:rFonts w:ascii="Arial" w:eastAsia="Arial" w:hAnsi="Arial" w:cs="Arial"/>
          <w:spacing w:val="-1"/>
          <w:sz w:val="24"/>
          <w:szCs w:val="24"/>
        </w:rPr>
        <w:t>u</w:t>
      </w:r>
      <w:r w:rsidRPr="00AA38D6">
        <w:rPr>
          <w:rFonts w:ascii="Arial" w:eastAsia="Arial" w:hAnsi="Arial" w:cs="Arial"/>
          <w:sz w:val="24"/>
          <w:szCs w:val="24"/>
        </w:rPr>
        <w:t>e pre</w:t>
      </w:r>
      <w:r w:rsidRPr="00AA38D6">
        <w:rPr>
          <w:rFonts w:ascii="Arial" w:eastAsia="Arial" w:hAnsi="Arial" w:cs="Arial"/>
          <w:spacing w:val="1"/>
          <w:sz w:val="24"/>
          <w:szCs w:val="24"/>
        </w:rPr>
        <w:t>s</w:t>
      </w:r>
      <w:r w:rsidRPr="00AA38D6">
        <w:rPr>
          <w:rFonts w:ascii="Arial" w:eastAsia="Arial" w:hAnsi="Arial" w:cs="Arial"/>
          <w:sz w:val="24"/>
          <w:szCs w:val="24"/>
        </w:rPr>
        <w:t>e</w:t>
      </w:r>
      <w:r w:rsidRPr="00AA38D6">
        <w:rPr>
          <w:rFonts w:ascii="Arial" w:eastAsia="Arial" w:hAnsi="Arial" w:cs="Arial"/>
          <w:spacing w:val="-1"/>
          <w:sz w:val="24"/>
          <w:szCs w:val="24"/>
        </w:rPr>
        <w:t>n</w:t>
      </w:r>
      <w:r w:rsidRPr="00AA38D6">
        <w:rPr>
          <w:rFonts w:ascii="Arial" w:eastAsia="Arial" w:hAnsi="Arial" w:cs="Arial"/>
          <w:spacing w:val="2"/>
          <w:sz w:val="24"/>
          <w:szCs w:val="24"/>
        </w:rPr>
        <w:t>t</w:t>
      </w:r>
      <w:r w:rsidR="005C4D11">
        <w:rPr>
          <w:rFonts w:ascii="Arial" w:eastAsia="Arial" w:hAnsi="Arial" w:cs="Arial"/>
          <w:sz w:val="24"/>
          <w:szCs w:val="24"/>
        </w:rPr>
        <w:t>a</w:t>
      </w:r>
      <w:r w:rsidRPr="00AA38D6">
        <w:rPr>
          <w:rFonts w:ascii="Arial" w:eastAsia="Arial" w:hAnsi="Arial" w:cs="Arial"/>
          <w:sz w:val="24"/>
          <w:szCs w:val="24"/>
        </w:rPr>
        <w:t xml:space="preserve">n </w:t>
      </w:r>
      <w:r w:rsidRPr="00AA38D6">
        <w:rPr>
          <w:rFonts w:ascii="Arial" w:eastAsia="Arial" w:hAnsi="Arial" w:cs="Arial"/>
          <w:spacing w:val="-1"/>
          <w:sz w:val="24"/>
          <w:szCs w:val="24"/>
        </w:rPr>
        <w:t>l</w:t>
      </w:r>
      <w:r w:rsidRPr="00AA38D6">
        <w:rPr>
          <w:rFonts w:ascii="Arial" w:eastAsia="Arial" w:hAnsi="Arial" w:cs="Arial"/>
          <w:sz w:val="24"/>
          <w:szCs w:val="24"/>
        </w:rPr>
        <w:t>os p</w:t>
      </w:r>
      <w:r w:rsidRPr="00AA38D6">
        <w:rPr>
          <w:rFonts w:ascii="Arial" w:eastAsia="Arial" w:hAnsi="Arial" w:cs="Arial"/>
          <w:spacing w:val="-1"/>
          <w:sz w:val="24"/>
          <w:szCs w:val="24"/>
        </w:rPr>
        <w:t>a</w:t>
      </w:r>
      <w:r w:rsidRPr="00AA38D6">
        <w:rPr>
          <w:rFonts w:ascii="Arial" w:eastAsia="Arial" w:hAnsi="Arial" w:cs="Arial"/>
          <w:spacing w:val="1"/>
          <w:sz w:val="24"/>
          <w:szCs w:val="24"/>
        </w:rPr>
        <w:t>r</w:t>
      </w:r>
      <w:r w:rsidRPr="00AA38D6">
        <w:rPr>
          <w:rFonts w:ascii="Arial" w:eastAsia="Arial" w:hAnsi="Arial" w:cs="Arial"/>
          <w:sz w:val="24"/>
          <w:szCs w:val="24"/>
        </w:rPr>
        <w:t>t</w:t>
      </w:r>
      <w:r w:rsidRPr="00AA38D6">
        <w:rPr>
          <w:rFonts w:ascii="Arial" w:eastAsia="Arial" w:hAnsi="Arial" w:cs="Arial"/>
          <w:spacing w:val="-1"/>
          <w:sz w:val="24"/>
          <w:szCs w:val="24"/>
        </w:rPr>
        <w:t>i</w:t>
      </w:r>
      <w:r w:rsidRPr="00AA38D6">
        <w:rPr>
          <w:rFonts w:ascii="Arial" w:eastAsia="Arial" w:hAnsi="Arial" w:cs="Arial"/>
          <w:spacing w:val="2"/>
          <w:sz w:val="24"/>
          <w:szCs w:val="24"/>
        </w:rPr>
        <w:t>d</w:t>
      </w:r>
      <w:r w:rsidRPr="00AA38D6">
        <w:rPr>
          <w:rFonts w:ascii="Arial" w:eastAsia="Arial" w:hAnsi="Arial" w:cs="Arial"/>
          <w:sz w:val="24"/>
          <w:szCs w:val="24"/>
        </w:rPr>
        <w:t xml:space="preserve">os </w:t>
      </w:r>
      <w:r w:rsidRPr="00AA38D6">
        <w:rPr>
          <w:rFonts w:ascii="Arial" w:eastAsia="Arial" w:hAnsi="Arial" w:cs="Arial"/>
          <w:spacing w:val="1"/>
          <w:sz w:val="24"/>
          <w:szCs w:val="24"/>
        </w:rPr>
        <w:t>p</w:t>
      </w:r>
      <w:r w:rsidRPr="00AA38D6">
        <w:rPr>
          <w:rFonts w:ascii="Arial" w:eastAsia="Arial" w:hAnsi="Arial" w:cs="Arial"/>
          <w:spacing w:val="2"/>
          <w:sz w:val="24"/>
          <w:szCs w:val="24"/>
        </w:rPr>
        <w:t>o</w:t>
      </w:r>
      <w:r w:rsidRPr="00AA38D6">
        <w:rPr>
          <w:rFonts w:ascii="Arial" w:eastAsia="Arial" w:hAnsi="Arial" w:cs="Arial"/>
          <w:spacing w:val="-1"/>
          <w:sz w:val="24"/>
          <w:szCs w:val="24"/>
        </w:rPr>
        <w:t>l</w:t>
      </w:r>
      <w:r w:rsidRPr="00AA38D6">
        <w:rPr>
          <w:rFonts w:ascii="Arial" w:eastAsia="Arial" w:hAnsi="Arial" w:cs="Arial"/>
          <w:sz w:val="24"/>
          <w:szCs w:val="24"/>
        </w:rPr>
        <w:t>í</w:t>
      </w:r>
      <w:r w:rsidRPr="00AA38D6">
        <w:rPr>
          <w:rFonts w:ascii="Arial" w:eastAsia="Arial" w:hAnsi="Arial" w:cs="Arial"/>
          <w:spacing w:val="2"/>
          <w:sz w:val="24"/>
          <w:szCs w:val="24"/>
        </w:rPr>
        <w:t>t</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os de a</w:t>
      </w:r>
      <w:r w:rsidRPr="00AA38D6">
        <w:rPr>
          <w:rFonts w:ascii="Arial" w:eastAsia="Arial" w:hAnsi="Arial" w:cs="Arial"/>
          <w:spacing w:val="1"/>
          <w:sz w:val="24"/>
          <w:szCs w:val="24"/>
        </w:rPr>
        <w:t>c</w:t>
      </w:r>
      <w:r w:rsidRPr="00AA38D6">
        <w:rPr>
          <w:rFonts w:ascii="Arial" w:eastAsia="Arial" w:hAnsi="Arial" w:cs="Arial"/>
          <w:sz w:val="24"/>
          <w:szCs w:val="24"/>
        </w:rPr>
        <w:t>u</w:t>
      </w:r>
      <w:r w:rsidRPr="00AA38D6">
        <w:rPr>
          <w:rFonts w:ascii="Arial" w:eastAsia="Arial" w:hAnsi="Arial" w:cs="Arial"/>
          <w:spacing w:val="-1"/>
          <w:sz w:val="24"/>
          <w:szCs w:val="24"/>
        </w:rPr>
        <w:t>e</w:t>
      </w:r>
      <w:r w:rsidRPr="00AA38D6">
        <w:rPr>
          <w:rFonts w:ascii="Arial" w:eastAsia="Arial" w:hAnsi="Arial" w:cs="Arial"/>
          <w:spacing w:val="1"/>
          <w:sz w:val="24"/>
          <w:szCs w:val="24"/>
        </w:rPr>
        <w:t>r</w:t>
      </w:r>
      <w:r w:rsidRPr="00AA38D6">
        <w:rPr>
          <w:rFonts w:ascii="Arial" w:eastAsia="Arial" w:hAnsi="Arial" w:cs="Arial"/>
          <w:sz w:val="24"/>
          <w:szCs w:val="24"/>
        </w:rPr>
        <w:t xml:space="preserve">do al </w:t>
      </w:r>
      <w:r w:rsidRPr="00AA38D6">
        <w:rPr>
          <w:rFonts w:ascii="Arial" w:eastAsia="Arial" w:hAnsi="Arial" w:cs="Arial"/>
          <w:spacing w:val="4"/>
          <w:sz w:val="24"/>
          <w:szCs w:val="24"/>
        </w:rPr>
        <w:t>m</w:t>
      </w:r>
      <w:r w:rsidRPr="00AA38D6">
        <w:rPr>
          <w:rFonts w:ascii="Arial" w:eastAsia="Arial" w:hAnsi="Arial" w:cs="Arial"/>
          <w:sz w:val="24"/>
          <w:szCs w:val="24"/>
        </w:rPr>
        <w:t>ar</w:t>
      </w:r>
      <w:r w:rsidRPr="00AA38D6">
        <w:rPr>
          <w:rFonts w:ascii="Arial" w:eastAsia="Arial" w:hAnsi="Arial" w:cs="Arial"/>
          <w:spacing w:val="2"/>
          <w:sz w:val="24"/>
          <w:szCs w:val="24"/>
        </w:rPr>
        <w:t>c</w:t>
      </w:r>
      <w:r w:rsidRPr="00AA38D6">
        <w:rPr>
          <w:rFonts w:ascii="Arial" w:eastAsia="Arial" w:hAnsi="Arial" w:cs="Arial"/>
          <w:sz w:val="24"/>
          <w:szCs w:val="24"/>
        </w:rPr>
        <w:t xml:space="preserve">o </w:t>
      </w:r>
      <w:r w:rsidRPr="00AA38D6">
        <w:rPr>
          <w:rFonts w:ascii="Arial" w:eastAsia="Arial" w:hAnsi="Arial" w:cs="Arial"/>
          <w:spacing w:val="1"/>
          <w:sz w:val="24"/>
          <w:szCs w:val="24"/>
        </w:rPr>
        <w:t>j</w:t>
      </w:r>
      <w:r w:rsidRPr="00AA38D6">
        <w:rPr>
          <w:rFonts w:ascii="Arial" w:eastAsia="Arial" w:hAnsi="Arial" w:cs="Arial"/>
          <w:sz w:val="24"/>
          <w:szCs w:val="24"/>
        </w:rPr>
        <w:t>uríd</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o s</w:t>
      </w:r>
      <w:r w:rsidRPr="00AA38D6">
        <w:rPr>
          <w:rFonts w:ascii="Arial" w:eastAsia="Arial" w:hAnsi="Arial" w:cs="Arial"/>
          <w:spacing w:val="1"/>
          <w:sz w:val="24"/>
          <w:szCs w:val="24"/>
        </w:rPr>
        <w:t>i</w:t>
      </w:r>
      <w:r w:rsidRPr="00AA38D6">
        <w:rPr>
          <w:rFonts w:ascii="Arial" w:eastAsia="Arial" w:hAnsi="Arial" w:cs="Arial"/>
          <w:sz w:val="24"/>
          <w:szCs w:val="24"/>
        </w:rPr>
        <w:t>g</w:t>
      </w:r>
      <w:r w:rsidRPr="00AA38D6">
        <w:rPr>
          <w:rFonts w:ascii="Arial" w:eastAsia="Arial" w:hAnsi="Arial" w:cs="Arial"/>
          <w:spacing w:val="-1"/>
          <w:sz w:val="24"/>
          <w:szCs w:val="24"/>
        </w:rPr>
        <w:t>u</w:t>
      </w:r>
      <w:r w:rsidRPr="00AA38D6">
        <w:rPr>
          <w:rFonts w:ascii="Arial" w:eastAsia="Arial" w:hAnsi="Arial" w:cs="Arial"/>
          <w:spacing w:val="1"/>
          <w:sz w:val="24"/>
          <w:szCs w:val="24"/>
        </w:rPr>
        <w:t>i</w:t>
      </w:r>
      <w:r w:rsidRPr="00AA38D6">
        <w:rPr>
          <w:rFonts w:ascii="Arial" w:eastAsia="Arial" w:hAnsi="Arial" w:cs="Arial"/>
          <w:sz w:val="24"/>
          <w:szCs w:val="24"/>
        </w:rPr>
        <w:t>e</w:t>
      </w:r>
      <w:r w:rsidRPr="00AA38D6">
        <w:rPr>
          <w:rFonts w:ascii="Arial" w:eastAsia="Arial" w:hAnsi="Arial" w:cs="Arial"/>
          <w:spacing w:val="-1"/>
          <w:sz w:val="24"/>
          <w:szCs w:val="24"/>
        </w:rPr>
        <w:t>n</w:t>
      </w:r>
      <w:r w:rsidRPr="00AA38D6">
        <w:rPr>
          <w:rFonts w:ascii="Arial" w:eastAsia="Arial" w:hAnsi="Arial" w:cs="Arial"/>
          <w:sz w:val="24"/>
          <w:szCs w:val="24"/>
        </w:rPr>
        <w:t>t</w:t>
      </w:r>
      <w:r w:rsidRPr="00AA38D6">
        <w:rPr>
          <w:rFonts w:ascii="Arial" w:eastAsia="Arial" w:hAnsi="Arial" w:cs="Arial"/>
          <w:spacing w:val="2"/>
          <w:sz w:val="24"/>
          <w:szCs w:val="24"/>
        </w:rPr>
        <w:t>e</w:t>
      </w:r>
      <w:r w:rsidRPr="00AA38D6">
        <w:rPr>
          <w:rFonts w:ascii="Arial" w:eastAsia="Arial" w:hAnsi="Arial" w:cs="Arial"/>
          <w:sz w:val="24"/>
          <w:szCs w:val="24"/>
        </w:rPr>
        <w:t>:</w:t>
      </w:r>
    </w:p>
    <w:p w:rsidR="00AA38D6" w:rsidRPr="00AA38D6" w:rsidRDefault="00AA38D6" w:rsidP="00523C2C">
      <w:pPr>
        <w:pStyle w:val="Prrafodelista"/>
        <w:spacing w:after="0" w:line="240" w:lineRule="auto"/>
        <w:ind w:left="426" w:right="-518"/>
        <w:jc w:val="both"/>
        <w:rPr>
          <w:rFonts w:ascii="Arial" w:eastAsia="Arial" w:hAnsi="Arial" w:cs="Arial"/>
          <w:sz w:val="24"/>
          <w:szCs w:val="24"/>
        </w:rPr>
      </w:pP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Const</w:t>
      </w:r>
      <w:r w:rsidRPr="00AA38D6">
        <w:rPr>
          <w:rFonts w:ascii="Arial" w:eastAsia="Arial" w:hAnsi="Arial" w:cs="Arial"/>
          <w:spacing w:val="-1"/>
          <w:sz w:val="24"/>
          <w:szCs w:val="24"/>
        </w:rPr>
        <w:t>i</w:t>
      </w:r>
      <w:r w:rsidRPr="00AA38D6">
        <w:rPr>
          <w:rFonts w:ascii="Arial" w:eastAsia="Arial" w:hAnsi="Arial" w:cs="Arial"/>
          <w:spacing w:val="2"/>
          <w:sz w:val="24"/>
          <w:szCs w:val="24"/>
        </w:rPr>
        <w:t>t</w:t>
      </w:r>
      <w:r w:rsidRPr="00AA38D6">
        <w:rPr>
          <w:rFonts w:ascii="Arial" w:eastAsia="Arial" w:hAnsi="Arial" w:cs="Arial"/>
          <w:sz w:val="24"/>
          <w:szCs w:val="24"/>
        </w:rPr>
        <w:t>u</w:t>
      </w:r>
      <w:r w:rsidRPr="00AA38D6">
        <w:rPr>
          <w:rFonts w:ascii="Arial" w:eastAsia="Arial" w:hAnsi="Arial" w:cs="Arial"/>
          <w:spacing w:val="1"/>
          <w:sz w:val="24"/>
          <w:szCs w:val="24"/>
        </w:rPr>
        <w:t>c</w:t>
      </w:r>
      <w:r w:rsidRPr="00AA38D6">
        <w:rPr>
          <w:rFonts w:ascii="Arial" w:eastAsia="Arial" w:hAnsi="Arial" w:cs="Arial"/>
          <w:spacing w:val="-1"/>
          <w:sz w:val="24"/>
          <w:szCs w:val="24"/>
        </w:rPr>
        <w:t>i</w:t>
      </w:r>
      <w:r w:rsidRPr="00AA38D6">
        <w:rPr>
          <w:rFonts w:ascii="Arial" w:eastAsia="Arial" w:hAnsi="Arial" w:cs="Arial"/>
          <w:spacing w:val="2"/>
          <w:sz w:val="24"/>
          <w:szCs w:val="24"/>
        </w:rPr>
        <w:t>ó</w:t>
      </w:r>
      <w:r w:rsidRPr="00AA38D6">
        <w:rPr>
          <w:rFonts w:ascii="Arial" w:eastAsia="Arial" w:hAnsi="Arial" w:cs="Arial"/>
          <w:sz w:val="24"/>
          <w:szCs w:val="24"/>
        </w:rPr>
        <w:t xml:space="preserve">n </w:t>
      </w:r>
      <w:r w:rsidRPr="00AA38D6">
        <w:rPr>
          <w:rFonts w:ascii="Arial" w:eastAsia="Arial" w:hAnsi="Arial" w:cs="Arial"/>
          <w:spacing w:val="1"/>
          <w:sz w:val="24"/>
          <w:szCs w:val="24"/>
        </w:rPr>
        <w:t>P</w:t>
      </w:r>
      <w:r w:rsidRPr="00AA38D6">
        <w:rPr>
          <w:rFonts w:ascii="Arial" w:eastAsia="Arial" w:hAnsi="Arial" w:cs="Arial"/>
          <w:sz w:val="24"/>
          <w:szCs w:val="24"/>
        </w:rPr>
        <w:t>o</w:t>
      </w:r>
      <w:r w:rsidRPr="00AA38D6">
        <w:rPr>
          <w:rFonts w:ascii="Arial" w:eastAsia="Arial" w:hAnsi="Arial" w:cs="Arial"/>
          <w:spacing w:val="-1"/>
          <w:sz w:val="24"/>
          <w:szCs w:val="24"/>
        </w:rPr>
        <w:t>l</w:t>
      </w:r>
      <w:r w:rsidRPr="00AA38D6">
        <w:rPr>
          <w:rFonts w:ascii="Arial" w:eastAsia="Arial" w:hAnsi="Arial" w:cs="Arial"/>
          <w:spacing w:val="2"/>
          <w:sz w:val="24"/>
          <w:szCs w:val="24"/>
        </w:rPr>
        <w:t>í</w:t>
      </w:r>
      <w:r w:rsidRPr="00AA38D6">
        <w:rPr>
          <w:rFonts w:ascii="Arial" w:eastAsia="Arial" w:hAnsi="Arial" w:cs="Arial"/>
          <w:sz w:val="24"/>
          <w:szCs w:val="24"/>
        </w:rPr>
        <w:t>t</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a de</w:t>
      </w:r>
      <w:r w:rsidRPr="00AA38D6">
        <w:rPr>
          <w:rFonts w:ascii="Arial" w:eastAsia="Arial" w:hAnsi="Arial" w:cs="Arial"/>
          <w:spacing w:val="-1"/>
          <w:sz w:val="24"/>
          <w:szCs w:val="24"/>
        </w:rPr>
        <w:t xml:space="preserve"> l</w:t>
      </w:r>
      <w:r w:rsidRPr="00AA38D6">
        <w:rPr>
          <w:rFonts w:ascii="Arial" w:eastAsia="Arial" w:hAnsi="Arial" w:cs="Arial"/>
          <w:sz w:val="24"/>
          <w:szCs w:val="24"/>
        </w:rPr>
        <w:t xml:space="preserve">os </w:t>
      </w:r>
      <w:r w:rsidRPr="00AA38D6">
        <w:rPr>
          <w:rFonts w:ascii="Arial" w:eastAsia="Arial" w:hAnsi="Arial" w:cs="Arial"/>
          <w:spacing w:val="-1"/>
          <w:sz w:val="24"/>
          <w:szCs w:val="24"/>
        </w:rPr>
        <w:t>E</w:t>
      </w:r>
      <w:r w:rsidRPr="00AA38D6">
        <w:rPr>
          <w:rFonts w:ascii="Arial" w:eastAsia="Arial" w:hAnsi="Arial" w:cs="Arial"/>
          <w:spacing w:val="1"/>
          <w:sz w:val="24"/>
          <w:szCs w:val="24"/>
        </w:rPr>
        <w:t>s</w:t>
      </w:r>
      <w:r w:rsidRPr="00AA38D6">
        <w:rPr>
          <w:rFonts w:ascii="Arial" w:eastAsia="Arial" w:hAnsi="Arial" w:cs="Arial"/>
          <w:sz w:val="24"/>
          <w:szCs w:val="24"/>
        </w:rPr>
        <w:t>ta</w:t>
      </w:r>
      <w:r w:rsidRPr="00AA38D6">
        <w:rPr>
          <w:rFonts w:ascii="Arial" w:eastAsia="Arial" w:hAnsi="Arial" w:cs="Arial"/>
          <w:spacing w:val="1"/>
          <w:sz w:val="24"/>
          <w:szCs w:val="24"/>
        </w:rPr>
        <w:t>d</w:t>
      </w:r>
      <w:r w:rsidRPr="00AA38D6">
        <w:rPr>
          <w:rFonts w:ascii="Arial" w:eastAsia="Arial" w:hAnsi="Arial" w:cs="Arial"/>
          <w:sz w:val="24"/>
          <w:szCs w:val="24"/>
        </w:rPr>
        <w:t>os Un</w:t>
      </w:r>
      <w:r w:rsidRPr="00AA38D6">
        <w:rPr>
          <w:rFonts w:ascii="Arial" w:eastAsia="Arial" w:hAnsi="Arial" w:cs="Arial"/>
          <w:spacing w:val="1"/>
          <w:sz w:val="24"/>
          <w:szCs w:val="24"/>
        </w:rPr>
        <w:t>i</w:t>
      </w:r>
      <w:r w:rsidRPr="00AA38D6">
        <w:rPr>
          <w:rFonts w:ascii="Arial" w:eastAsia="Arial" w:hAnsi="Arial" w:cs="Arial"/>
          <w:sz w:val="24"/>
          <w:szCs w:val="24"/>
        </w:rPr>
        <w:t>d</w:t>
      </w:r>
      <w:r w:rsidRPr="00AA38D6">
        <w:rPr>
          <w:rFonts w:ascii="Arial" w:eastAsia="Arial" w:hAnsi="Arial" w:cs="Arial"/>
          <w:spacing w:val="-1"/>
          <w:sz w:val="24"/>
          <w:szCs w:val="24"/>
        </w:rPr>
        <w:t>o</w:t>
      </w:r>
      <w:r w:rsidRPr="00AA38D6">
        <w:rPr>
          <w:rFonts w:ascii="Arial" w:eastAsia="Arial" w:hAnsi="Arial" w:cs="Arial"/>
          <w:sz w:val="24"/>
          <w:szCs w:val="24"/>
        </w:rPr>
        <w:t xml:space="preserve">s </w:t>
      </w:r>
      <w:r w:rsidRPr="00AA38D6">
        <w:rPr>
          <w:rFonts w:ascii="Arial" w:eastAsia="Arial" w:hAnsi="Arial" w:cs="Arial"/>
          <w:spacing w:val="2"/>
          <w:sz w:val="24"/>
          <w:szCs w:val="24"/>
        </w:rPr>
        <w:t>M</w:t>
      </w:r>
      <w:r w:rsidRPr="00AA38D6">
        <w:rPr>
          <w:rFonts w:ascii="Arial" w:eastAsia="Arial" w:hAnsi="Arial" w:cs="Arial"/>
          <w:sz w:val="24"/>
          <w:szCs w:val="24"/>
        </w:rPr>
        <w:t>e</w:t>
      </w:r>
      <w:r w:rsidRPr="00AA38D6">
        <w:rPr>
          <w:rFonts w:ascii="Arial" w:eastAsia="Arial" w:hAnsi="Arial" w:cs="Arial"/>
          <w:spacing w:val="1"/>
          <w:sz w:val="24"/>
          <w:szCs w:val="24"/>
        </w:rPr>
        <w:t>x</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a</w:t>
      </w:r>
      <w:r w:rsidRPr="00AA38D6">
        <w:rPr>
          <w:rFonts w:ascii="Arial" w:eastAsia="Arial" w:hAnsi="Arial" w:cs="Arial"/>
          <w:spacing w:val="1"/>
          <w:sz w:val="24"/>
          <w:szCs w:val="24"/>
        </w:rPr>
        <w:t>n</w:t>
      </w:r>
      <w:r w:rsidRPr="00AA38D6">
        <w:rPr>
          <w:rFonts w:ascii="Arial" w:eastAsia="Arial" w:hAnsi="Arial" w:cs="Arial"/>
          <w:spacing w:val="2"/>
          <w:sz w:val="24"/>
          <w:szCs w:val="24"/>
        </w:rPr>
        <w:t>o</w:t>
      </w:r>
      <w:r w:rsidRPr="00AA38D6">
        <w:rPr>
          <w:rFonts w:ascii="Arial" w:eastAsia="Arial" w:hAnsi="Arial" w:cs="Arial"/>
          <w:spacing w:val="1"/>
          <w:sz w:val="24"/>
          <w:szCs w:val="24"/>
        </w:rPr>
        <w:t>s</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L</w:t>
      </w:r>
      <w:r w:rsidRPr="00AA38D6">
        <w:rPr>
          <w:rFonts w:ascii="Arial" w:eastAsia="Arial" w:hAnsi="Arial" w:cs="Arial"/>
          <w:spacing w:val="1"/>
          <w:sz w:val="24"/>
          <w:szCs w:val="24"/>
        </w:rPr>
        <w:t>e</w:t>
      </w:r>
      <w:r w:rsidRPr="00AA38D6">
        <w:rPr>
          <w:rFonts w:ascii="Arial" w:eastAsia="Arial" w:hAnsi="Arial" w:cs="Arial"/>
          <w:sz w:val="24"/>
          <w:szCs w:val="24"/>
        </w:rPr>
        <w:t xml:space="preserve">y </w:t>
      </w:r>
      <w:r w:rsidRPr="00AA38D6">
        <w:rPr>
          <w:rFonts w:ascii="Arial" w:eastAsia="Arial" w:hAnsi="Arial" w:cs="Arial"/>
          <w:spacing w:val="3"/>
          <w:sz w:val="24"/>
          <w:szCs w:val="24"/>
        </w:rPr>
        <w:t>G</w:t>
      </w:r>
      <w:r w:rsidRPr="00AA38D6">
        <w:rPr>
          <w:rFonts w:ascii="Arial" w:eastAsia="Arial" w:hAnsi="Arial" w:cs="Arial"/>
          <w:sz w:val="24"/>
          <w:szCs w:val="24"/>
        </w:rPr>
        <w:t>e</w:t>
      </w:r>
      <w:r w:rsidRPr="00AA38D6">
        <w:rPr>
          <w:rFonts w:ascii="Arial" w:eastAsia="Arial" w:hAnsi="Arial" w:cs="Arial"/>
          <w:spacing w:val="-1"/>
          <w:sz w:val="24"/>
          <w:szCs w:val="24"/>
        </w:rPr>
        <w:t>n</w:t>
      </w:r>
      <w:r w:rsidRPr="00AA38D6">
        <w:rPr>
          <w:rFonts w:ascii="Arial" w:eastAsia="Arial" w:hAnsi="Arial" w:cs="Arial"/>
          <w:sz w:val="24"/>
          <w:szCs w:val="24"/>
        </w:rPr>
        <w:t>er</w:t>
      </w:r>
      <w:r w:rsidRPr="00AA38D6">
        <w:rPr>
          <w:rFonts w:ascii="Arial" w:eastAsia="Arial" w:hAnsi="Arial" w:cs="Arial"/>
          <w:spacing w:val="2"/>
          <w:sz w:val="24"/>
          <w:szCs w:val="24"/>
        </w:rPr>
        <w:t>a</w:t>
      </w:r>
      <w:r w:rsidRPr="00AA38D6">
        <w:rPr>
          <w:rFonts w:ascii="Arial" w:eastAsia="Arial" w:hAnsi="Arial" w:cs="Arial"/>
          <w:sz w:val="24"/>
          <w:szCs w:val="24"/>
        </w:rPr>
        <w:t xml:space="preserve">l de </w:t>
      </w:r>
      <w:r w:rsidRPr="00AA38D6">
        <w:rPr>
          <w:rFonts w:ascii="Arial" w:eastAsia="Arial" w:hAnsi="Arial" w:cs="Arial"/>
          <w:spacing w:val="2"/>
          <w:sz w:val="24"/>
          <w:szCs w:val="24"/>
        </w:rPr>
        <w:t>I</w:t>
      </w:r>
      <w:r w:rsidRPr="00AA38D6">
        <w:rPr>
          <w:rFonts w:ascii="Arial" w:eastAsia="Arial" w:hAnsi="Arial" w:cs="Arial"/>
          <w:sz w:val="24"/>
          <w:szCs w:val="24"/>
        </w:rPr>
        <w:t>n</w:t>
      </w:r>
      <w:r w:rsidRPr="00AA38D6">
        <w:rPr>
          <w:rFonts w:ascii="Arial" w:eastAsia="Arial" w:hAnsi="Arial" w:cs="Arial"/>
          <w:spacing w:val="1"/>
          <w:sz w:val="24"/>
          <w:szCs w:val="24"/>
        </w:rPr>
        <w:t>s</w:t>
      </w:r>
      <w:r w:rsidRPr="00AA38D6">
        <w:rPr>
          <w:rFonts w:ascii="Arial" w:eastAsia="Arial" w:hAnsi="Arial" w:cs="Arial"/>
          <w:sz w:val="24"/>
          <w:szCs w:val="24"/>
        </w:rPr>
        <w:t>t</w:t>
      </w:r>
      <w:r w:rsidRPr="00AA38D6">
        <w:rPr>
          <w:rFonts w:ascii="Arial" w:eastAsia="Arial" w:hAnsi="Arial" w:cs="Arial"/>
          <w:spacing w:val="-1"/>
          <w:sz w:val="24"/>
          <w:szCs w:val="24"/>
        </w:rPr>
        <w:t>i</w:t>
      </w:r>
      <w:r w:rsidRPr="00AA38D6">
        <w:rPr>
          <w:rFonts w:ascii="Arial" w:eastAsia="Arial" w:hAnsi="Arial" w:cs="Arial"/>
          <w:sz w:val="24"/>
          <w:szCs w:val="24"/>
        </w:rPr>
        <w:t>tu</w:t>
      </w:r>
      <w:r w:rsidRPr="00AA38D6">
        <w:rPr>
          <w:rFonts w:ascii="Arial" w:eastAsia="Arial" w:hAnsi="Arial" w:cs="Arial"/>
          <w:spacing w:val="3"/>
          <w:sz w:val="24"/>
          <w:szCs w:val="24"/>
        </w:rPr>
        <w:t>c</w:t>
      </w:r>
      <w:r w:rsidRPr="00AA38D6">
        <w:rPr>
          <w:rFonts w:ascii="Arial" w:eastAsia="Arial" w:hAnsi="Arial" w:cs="Arial"/>
          <w:spacing w:val="-1"/>
          <w:sz w:val="24"/>
          <w:szCs w:val="24"/>
        </w:rPr>
        <w:t>i</w:t>
      </w:r>
      <w:r w:rsidRPr="00AA38D6">
        <w:rPr>
          <w:rFonts w:ascii="Arial" w:eastAsia="Arial" w:hAnsi="Arial" w:cs="Arial"/>
          <w:sz w:val="24"/>
          <w:szCs w:val="24"/>
        </w:rPr>
        <w:t>o</w:t>
      </w:r>
      <w:r w:rsidRPr="00AA38D6">
        <w:rPr>
          <w:rFonts w:ascii="Arial" w:eastAsia="Arial" w:hAnsi="Arial" w:cs="Arial"/>
          <w:spacing w:val="1"/>
          <w:sz w:val="24"/>
          <w:szCs w:val="24"/>
        </w:rPr>
        <w:t>n</w:t>
      </w:r>
      <w:r w:rsidRPr="00AA38D6">
        <w:rPr>
          <w:rFonts w:ascii="Arial" w:eastAsia="Arial" w:hAnsi="Arial" w:cs="Arial"/>
          <w:spacing w:val="2"/>
          <w:sz w:val="24"/>
          <w:szCs w:val="24"/>
        </w:rPr>
        <w:t>e</w:t>
      </w:r>
      <w:r w:rsidRPr="00AA38D6">
        <w:rPr>
          <w:rFonts w:ascii="Arial" w:eastAsia="Arial" w:hAnsi="Arial" w:cs="Arial"/>
          <w:sz w:val="24"/>
          <w:szCs w:val="24"/>
        </w:rPr>
        <w:t xml:space="preserve">s y </w:t>
      </w:r>
      <w:r w:rsidRPr="00AA38D6">
        <w:rPr>
          <w:rFonts w:ascii="Arial" w:eastAsia="Arial" w:hAnsi="Arial" w:cs="Arial"/>
          <w:spacing w:val="2"/>
          <w:sz w:val="24"/>
          <w:szCs w:val="24"/>
        </w:rPr>
        <w:t>P</w:t>
      </w:r>
      <w:r w:rsidRPr="00AA38D6">
        <w:rPr>
          <w:rFonts w:ascii="Arial" w:eastAsia="Arial" w:hAnsi="Arial" w:cs="Arial"/>
          <w:spacing w:val="1"/>
          <w:sz w:val="24"/>
          <w:szCs w:val="24"/>
        </w:rPr>
        <w:t>r</w:t>
      </w:r>
      <w:r w:rsidRPr="00AA38D6">
        <w:rPr>
          <w:rFonts w:ascii="Arial" w:eastAsia="Arial" w:hAnsi="Arial" w:cs="Arial"/>
          <w:sz w:val="24"/>
          <w:szCs w:val="24"/>
        </w:rPr>
        <w:t>o</w:t>
      </w:r>
      <w:r w:rsidRPr="00AA38D6">
        <w:rPr>
          <w:rFonts w:ascii="Arial" w:eastAsia="Arial" w:hAnsi="Arial" w:cs="Arial"/>
          <w:spacing w:val="1"/>
          <w:sz w:val="24"/>
          <w:szCs w:val="24"/>
        </w:rPr>
        <w:t>c</w:t>
      </w:r>
      <w:r w:rsidRPr="00AA38D6">
        <w:rPr>
          <w:rFonts w:ascii="Arial" w:eastAsia="Arial" w:hAnsi="Arial" w:cs="Arial"/>
          <w:spacing w:val="2"/>
          <w:sz w:val="24"/>
          <w:szCs w:val="24"/>
        </w:rPr>
        <w:t>e</w:t>
      </w:r>
      <w:r w:rsidRPr="00AA38D6">
        <w:rPr>
          <w:rFonts w:ascii="Arial" w:eastAsia="Arial" w:hAnsi="Arial" w:cs="Arial"/>
          <w:sz w:val="24"/>
          <w:szCs w:val="24"/>
        </w:rPr>
        <w:t>d</w:t>
      </w:r>
      <w:r w:rsidRPr="00AA38D6">
        <w:rPr>
          <w:rFonts w:ascii="Arial" w:eastAsia="Arial" w:hAnsi="Arial" w:cs="Arial"/>
          <w:spacing w:val="-1"/>
          <w:sz w:val="24"/>
          <w:szCs w:val="24"/>
        </w:rPr>
        <w:t>i</w:t>
      </w:r>
      <w:r w:rsidRPr="00AA38D6">
        <w:rPr>
          <w:rFonts w:ascii="Arial" w:eastAsia="Arial" w:hAnsi="Arial" w:cs="Arial"/>
          <w:spacing w:val="4"/>
          <w:sz w:val="24"/>
          <w:szCs w:val="24"/>
        </w:rPr>
        <w:t>m</w:t>
      </w:r>
      <w:r w:rsidRPr="00AA38D6">
        <w:rPr>
          <w:rFonts w:ascii="Arial" w:eastAsia="Arial" w:hAnsi="Arial" w:cs="Arial"/>
          <w:spacing w:val="-1"/>
          <w:sz w:val="24"/>
          <w:szCs w:val="24"/>
        </w:rPr>
        <w:t>i</w:t>
      </w:r>
      <w:r w:rsidRPr="00AA38D6">
        <w:rPr>
          <w:rFonts w:ascii="Arial" w:eastAsia="Arial" w:hAnsi="Arial" w:cs="Arial"/>
          <w:sz w:val="24"/>
          <w:szCs w:val="24"/>
        </w:rPr>
        <w:t>e</w:t>
      </w:r>
      <w:r w:rsidRPr="00AA38D6">
        <w:rPr>
          <w:rFonts w:ascii="Arial" w:eastAsia="Arial" w:hAnsi="Arial" w:cs="Arial"/>
          <w:spacing w:val="-1"/>
          <w:sz w:val="24"/>
          <w:szCs w:val="24"/>
        </w:rPr>
        <w:t>n</w:t>
      </w:r>
      <w:r w:rsidRPr="00AA38D6">
        <w:rPr>
          <w:rFonts w:ascii="Arial" w:eastAsia="Arial" w:hAnsi="Arial" w:cs="Arial"/>
          <w:sz w:val="24"/>
          <w:szCs w:val="24"/>
        </w:rPr>
        <w:t xml:space="preserve">tos </w:t>
      </w:r>
      <w:r w:rsidRPr="00AA38D6">
        <w:rPr>
          <w:rFonts w:ascii="Arial" w:eastAsia="Arial" w:hAnsi="Arial" w:cs="Arial"/>
          <w:spacing w:val="-1"/>
          <w:sz w:val="24"/>
          <w:szCs w:val="24"/>
        </w:rPr>
        <w:t>E</w:t>
      </w:r>
      <w:r w:rsidRPr="00AA38D6">
        <w:rPr>
          <w:rFonts w:ascii="Arial" w:eastAsia="Arial" w:hAnsi="Arial" w:cs="Arial"/>
          <w:spacing w:val="1"/>
          <w:sz w:val="24"/>
          <w:szCs w:val="24"/>
        </w:rPr>
        <w:t>l</w:t>
      </w:r>
      <w:r w:rsidRPr="00AA38D6">
        <w:rPr>
          <w:rFonts w:ascii="Arial" w:eastAsia="Arial" w:hAnsi="Arial" w:cs="Arial"/>
          <w:sz w:val="24"/>
          <w:szCs w:val="24"/>
        </w:rPr>
        <w:t>e</w:t>
      </w:r>
      <w:r w:rsidRPr="00AA38D6">
        <w:rPr>
          <w:rFonts w:ascii="Arial" w:eastAsia="Arial" w:hAnsi="Arial" w:cs="Arial"/>
          <w:spacing w:val="1"/>
          <w:sz w:val="24"/>
          <w:szCs w:val="24"/>
        </w:rPr>
        <w:t>c</w:t>
      </w:r>
      <w:r w:rsidRPr="00AA38D6">
        <w:rPr>
          <w:rFonts w:ascii="Arial" w:eastAsia="Arial" w:hAnsi="Arial" w:cs="Arial"/>
          <w:sz w:val="24"/>
          <w:szCs w:val="24"/>
        </w:rPr>
        <w:t>to</w:t>
      </w:r>
      <w:r w:rsidRPr="00AA38D6">
        <w:rPr>
          <w:rFonts w:ascii="Arial" w:eastAsia="Arial" w:hAnsi="Arial" w:cs="Arial"/>
          <w:spacing w:val="3"/>
          <w:sz w:val="24"/>
          <w:szCs w:val="24"/>
        </w:rPr>
        <w:t>r</w:t>
      </w:r>
      <w:r w:rsidRPr="00AA38D6">
        <w:rPr>
          <w:rFonts w:ascii="Arial" w:eastAsia="Arial" w:hAnsi="Arial" w:cs="Arial"/>
          <w:sz w:val="24"/>
          <w:szCs w:val="24"/>
        </w:rPr>
        <w:t>a</w:t>
      </w:r>
      <w:r w:rsidRPr="00AA38D6">
        <w:rPr>
          <w:rFonts w:ascii="Arial" w:eastAsia="Arial" w:hAnsi="Arial" w:cs="Arial"/>
          <w:spacing w:val="-1"/>
          <w:sz w:val="24"/>
          <w:szCs w:val="24"/>
        </w:rPr>
        <w:t>l</w:t>
      </w:r>
      <w:r w:rsidRPr="00AA38D6">
        <w:rPr>
          <w:rFonts w:ascii="Arial" w:eastAsia="Arial" w:hAnsi="Arial" w:cs="Arial"/>
          <w:sz w:val="24"/>
          <w:szCs w:val="24"/>
        </w:rPr>
        <w:t>e</w:t>
      </w:r>
      <w:r w:rsidRPr="00AA38D6">
        <w:rPr>
          <w:rFonts w:ascii="Arial" w:eastAsia="Arial" w:hAnsi="Arial" w:cs="Arial"/>
          <w:spacing w:val="3"/>
          <w:sz w:val="24"/>
          <w:szCs w:val="24"/>
        </w:rPr>
        <w:t>s</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L</w:t>
      </w:r>
      <w:r w:rsidRPr="00AA38D6">
        <w:rPr>
          <w:rFonts w:ascii="Arial" w:eastAsia="Arial" w:hAnsi="Arial" w:cs="Arial"/>
          <w:spacing w:val="1"/>
          <w:sz w:val="24"/>
          <w:szCs w:val="24"/>
        </w:rPr>
        <w:t>e</w:t>
      </w:r>
      <w:r w:rsidRPr="00AA38D6">
        <w:rPr>
          <w:rFonts w:ascii="Arial" w:eastAsia="Arial" w:hAnsi="Arial" w:cs="Arial"/>
          <w:sz w:val="24"/>
          <w:szCs w:val="24"/>
        </w:rPr>
        <w:t xml:space="preserve">y </w:t>
      </w:r>
      <w:r w:rsidRPr="00AA38D6">
        <w:rPr>
          <w:rFonts w:ascii="Arial" w:eastAsia="Arial" w:hAnsi="Arial" w:cs="Arial"/>
          <w:spacing w:val="3"/>
          <w:sz w:val="24"/>
          <w:szCs w:val="24"/>
        </w:rPr>
        <w:t>G</w:t>
      </w:r>
      <w:r w:rsidRPr="00AA38D6">
        <w:rPr>
          <w:rFonts w:ascii="Arial" w:eastAsia="Arial" w:hAnsi="Arial" w:cs="Arial"/>
          <w:sz w:val="24"/>
          <w:szCs w:val="24"/>
        </w:rPr>
        <w:t>e</w:t>
      </w:r>
      <w:r w:rsidRPr="00AA38D6">
        <w:rPr>
          <w:rFonts w:ascii="Arial" w:eastAsia="Arial" w:hAnsi="Arial" w:cs="Arial"/>
          <w:spacing w:val="-1"/>
          <w:sz w:val="24"/>
          <w:szCs w:val="24"/>
        </w:rPr>
        <w:t>n</w:t>
      </w:r>
      <w:r w:rsidRPr="00AA38D6">
        <w:rPr>
          <w:rFonts w:ascii="Arial" w:eastAsia="Arial" w:hAnsi="Arial" w:cs="Arial"/>
          <w:sz w:val="24"/>
          <w:szCs w:val="24"/>
        </w:rPr>
        <w:t>er</w:t>
      </w:r>
      <w:r w:rsidRPr="00AA38D6">
        <w:rPr>
          <w:rFonts w:ascii="Arial" w:eastAsia="Arial" w:hAnsi="Arial" w:cs="Arial"/>
          <w:spacing w:val="2"/>
          <w:sz w:val="24"/>
          <w:szCs w:val="24"/>
        </w:rPr>
        <w:t>a</w:t>
      </w:r>
      <w:r w:rsidRPr="00AA38D6">
        <w:rPr>
          <w:rFonts w:ascii="Arial" w:eastAsia="Arial" w:hAnsi="Arial" w:cs="Arial"/>
          <w:sz w:val="24"/>
          <w:szCs w:val="24"/>
        </w:rPr>
        <w:t>l de</w:t>
      </w:r>
      <w:r w:rsidRPr="00AA38D6">
        <w:rPr>
          <w:rFonts w:ascii="Arial" w:eastAsia="Arial" w:hAnsi="Arial" w:cs="Arial"/>
          <w:spacing w:val="-1"/>
          <w:sz w:val="24"/>
          <w:szCs w:val="24"/>
        </w:rPr>
        <w:t xml:space="preserve"> P</w:t>
      </w:r>
      <w:r w:rsidRPr="00AA38D6">
        <w:rPr>
          <w:rFonts w:ascii="Arial" w:eastAsia="Arial" w:hAnsi="Arial" w:cs="Arial"/>
          <w:sz w:val="24"/>
          <w:szCs w:val="24"/>
        </w:rPr>
        <w:t>art</w:t>
      </w:r>
      <w:r w:rsidRPr="00AA38D6">
        <w:rPr>
          <w:rFonts w:ascii="Arial" w:eastAsia="Arial" w:hAnsi="Arial" w:cs="Arial"/>
          <w:spacing w:val="2"/>
          <w:sz w:val="24"/>
          <w:szCs w:val="24"/>
        </w:rPr>
        <w:t>i</w:t>
      </w:r>
      <w:r w:rsidRPr="00AA38D6">
        <w:rPr>
          <w:rFonts w:ascii="Arial" w:eastAsia="Arial" w:hAnsi="Arial" w:cs="Arial"/>
          <w:sz w:val="24"/>
          <w:szCs w:val="24"/>
        </w:rPr>
        <w:t>d</w:t>
      </w:r>
      <w:r w:rsidRPr="00AA38D6">
        <w:rPr>
          <w:rFonts w:ascii="Arial" w:eastAsia="Arial" w:hAnsi="Arial" w:cs="Arial"/>
          <w:spacing w:val="-1"/>
          <w:sz w:val="24"/>
          <w:szCs w:val="24"/>
        </w:rPr>
        <w:t>o</w:t>
      </w:r>
      <w:r w:rsidRPr="00AA38D6">
        <w:rPr>
          <w:rFonts w:ascii="Arial" w:eastAsia="Arial" w:hAnsi="Arial" w:cs="Arial"/>
          <w:sz w:val="24"/>
          <w:szCs w:val="24"/>
        </w:rPr>
        <w:t xml:space="preserve">s </w:t>
      </w:r>
      <w:r w:rsidRPr="00AA38D6">
        <w:rPr>
          <w:rFonts w:ascii="Arial" w:eastAsia="Arial" w:hAnsi="Arial" w:cs="Arial"/>
          <w:spacing w:val="1"/>
          <w:sz w:val="24"/>
          <w:szCs w:val="24"/>
        </w:rPr>
        <w:t>P</w:t>
      </w:r>
      <w:r w:rsidRPr="00AA38D6">
        <w:rPr>
          <w:rFonts w:ascii="Arial" w:eastAsia="Arial" w:hAnsi="Arial" w:cs="Arial"/>
          <w:sz w:val="24"/>
          <w:szCs w:val="24"/>
        </w:rPr>
        <w:t>o</w:t>
      </w:r>
      <w:r w:rsidRPr="00AA38D6">
        <w:rPr>
          <w:rFonts w:ascii="Arial" w:eastAsia="Arial" w:hAnsi="Arial" w:cs="Arial"/>
          <w:spacing w:val="-1"/>
          <w:sz w:val="24"/>
          <w:szCs w:val="24"/>
        </w:rPr>
        <w:t>l</w:t>
      </w:r>
      <w:r w:rsidRPr="00AA38D6">
        <w:rPr>
          <w:rFonts w:ascii="Arial" w:eastAsia="Arial" w:hAnsi="Arial" w:cs="Arial"/>
          <w:sz w:val="24"/>
          <w:szCs w:val="24"/>
        </w:rPr>
        <w:t>í</w:t>
      </w:r>
      <w:r w:rsidRPr="00AA38D6">
        <w:rPr>
          <w:rFonts w:ascii="Arial" w:eastAsia="Arial" w:hAnsi="Arial" w:cs="Arial"/>
          <w:spacing w:val="2"/>
          <w:sz w:val="24"/>
          <w:szCs w:val="24"/>
        </w:rPr>
        <w:t>t</w:t>
      </w:r>
      <w:r w:rsidRPr="00AA38D6">
        <w:rPr>
          <w:rFonts w:ascii="Arial" w:eastAsia="Arial" w:hAnsi="Arial" w:cs="Arial"/>
          <w:spacing w:val="-1"/>
          <w:sz w:val="24"/>
          <w:szCs w:val="24"/>
        </w:rPr>
        <w:t>i</w:t>
      </w:r>
      <w:r w:rsidRPr="00AA38D6">
        <w:rPr>
          <w:rFonts w:ascii="Arial" w:eastAsia="Arial" w:hAnsi="Arial" w:cs="Arial"/>
          <w:spacing w:val="1"/>
          <w:sz w:val="24"/>
          <w:szCs w:val="24"/>
        </w:rPr>
        <w:t>c</w:t>
      </w:r>
      <w:r w:rsidRPr="00AA38D6">
        <w:rPr>
          <w:rFonts w:ascii="Arial" w:eastAsia="Arial" w:hAnsi="Arial" w:cs="Arial"/>
          <w:sz w:val="24"/>
          <w:szCs w:val="24"/>
        </w:rPr>
        <w:t>o</w:t>
      </w:r>
      <w:r w:rsidRPr="00AA38D6">
        <w:rPr>
          <w:rFonts w:ascii="Arial" w:eastAsia="Arial" w:hAnsi="Arial" w:cs="Arial"/>
          <w:spacing w:val="1"/>
          <w:sz w:val="24"/>
          <w:szCs w:val="24"/>
        </w:rPr>
        <w:t>s</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L</w:t>
      </w:r>
      <w:r w:rsidRPr="00AA38D6">
        <w:rPr>
          <w:rFonts w:ascii="Arial" w:eastAsia="Arial" w:hAnsi="Arial" w:cs="Arial"/>
          <w:spacing w:val="1"/>
          <w:sz w:val="24"/>
          <w:szCs w:val="24"/>
        </w:rPr>
        <w:t>e</w:t>
      </w:r>
      <w:r w:rsidRPr="00AA38D6">
        <w:rPr>
          <w:rFonts w:ascii="Arial" w:eastAsia="Arial" w:hAnsi="Arial" w:cs="Arial"/>
          <w:sz w:val="24"/>
          <w:szCs w:val="24"/>
        </w:rPr>
        <w:t>y d</w:t>
      </w:r>
      <w:r w:rsidRPr="00AA38D6">
        <w:rPr>
          <w:rFonts w:ascii="Arial" w:eastAsia="Arial" w:hAnsi="Arial" w:cs="Arial"/>
          <w:spacing w:val="1"/>
          <w:sz w:val="24"/>
          <w:szCs w:val="24"/>
        </w:rPr>
        <w:t>e</w:t>
      </w:r>
      <w:r w:rsidRPr="00AA38D6">
        <w:rPr>
          <w:rFonts w:ascii="Arial" w:eastAsia="Arial" w:hAnsi="Arial" w:cs="Arial"/>
          <w:sz w:val="24"/>
          <w:szCs w:val="24"/>
        </w:rPr>
        <w:t>l I</w:t>
      </w:r>
      <w:r w:rsidRPr="00AA38D6">
        <w:rPr>
          <w:rFonts w:ascii="Arial" w:eastAsia="Arial" w:hAnsi="Arial" w:cs="Arial"/>
          <w:spacing w:val="4"/>
          <w:sz w:val="24"/>
          <w:szCs w:val="24"/>
        </w:rPr>
        <w:t>m</w:t>
      </w:r>
      <w:r w:rsidRPr="00AA38D6">
        <w:rPr>
          <w:rFonts w:ascii="Arial" w:eastAsia="Arial" w:hAnsi="Arial" w:cs="Arial"/>
          <w:sz w:val="24"/>
          <w:szCs w:val="24"/>
        </w:rPr>
        <w:t>p</w:t>
      </w:r>
      <w:r w:rsidRPr="00AA38D6">
        <w:rPr>
          <w:rFonts w:ascii="Arial" w:eastAsia="Arial" w:hAnsi="Arial" w:cs="Arial"/>
          <w:spacing w:val="-1"/>
          <w:sz w:val="24"/>
          <w:szCs w:val="24"/>
        </w:rPr>
        <w:t>u</w:t>
      </w:r>
      <w:r w:rsidRPr="00AA38D6">
        <w:rPr>
          <w:rFonts w:ascii="Arial" w:eastAsia="Arial" w:hAnsi="Arial" w:cs="Arial"/>
          <w:sz w:val="24"/>
          <w:szCs w:val="24"/>
        </w:rPr>
        <w:t>e</w:t>
      </w:r>
      <w:r w:rsidRPr="00AA38D6">
        <w:rPr>
          <w:rFonts w:ascii="Arial" w:eastAsia="Arial" w:hAnsi="Arial" w:cs="Arial"/>
          <w:spacing w:val="1"/>
          <w:sz w:val="24"/>
          <w:szCs w:val="24"/>
        </w:rPr>
        <w:t>s</w:t>
      </w:r>
      <w:r w:rsidRPr="00AA38D6">
        <w:rPr>
          <w:rFonts w:ascii="Arial" w:eastAsia="Arial" w:hAnsi="Arial" w:cs="Arial"/>
          <w:sz w:val="24"/>
          <w:szCs w:val="24"/>
        </w:rPr>
        <w:t xml:space="preserve">to </w:t>
      </w:r>
      <w:r w:rsidRPr="00AA38D6">
        <w:rPr>
          <w:rFonts w:ascii="Arial" w:eastAsia="Arial" w:hAnsi="Arial" w:cs="Arial"/>
          <w:spacing w:val="1"/>
          <w:sz w:val="24"/>
          <w:szCs w:val="24"/>
        </w:rPr>
        <w:t>s</w:t>
      </w:r>
      <w:r w:rsidRPr="00AA38D6">
        <w:rPr>
          <w:rFonts w:ascii="Arial" w:eastAsia="Arial" w:hAnsi="Arial" w:cs="Arial"/>
          <w:sz w:val="24"/>
          <w:szCs w:val="24"/>
        </w:rPr>
        <w:t>o</w:t>
      </w:r>
      <w:r w:rsidRPr="00AA38D6">
        <w:rPr>
          <w:rFonts w:ascii="Arial" w:eastAsia="Arial" w:hAnsi="Arial" w:cs="Arial"/>
          <w:spacing w:val="-1"/>
          <w:sz w:val="24"/>
          <w:szCs w:val="24"/>
        </w:rPr>
        <w:t>b</w:t>
      </w:r>
      <w:r w:rsidRPr="00AA38D6">
        <w:rPr>
          <w:rFonts w:ascii="Arial" w:eastAsia="Arial" w:hAnsi="Arial" w:cs="Arial"/>
          <w:spacing w:val="1"/>
          <w:sz w:val="24"/>
          <w:szCs w:val="24"/>
        </w:rPr>
        <w:t>r</w:t>
      </w:r>
      <w:r w:rsidRPr="00AA38D6">
        <w:rPr>
          <w:rFonts w:ascii="Arial" w:eastAsia="Arial" w:hAnsi="Arial" w:cs="Arial"/>
          <w:sz w:val="24"/>
          <w:szCs w:val="24"/>
        </w:rPr>
        <w:t xml:space="preserve">e </w:t>
      </w:r>
      <w:r w:rsidRPr="00AA38D6">
        <w:rPr>
          <w:rFonts w:ascii="Arial" w:eastAsia="Arial" w:hAnsi="Arial" w:cs="Arial"/>
          <w:spacing w:val="-1"/>
          <w:sz w:val="24"/>
          <w:szCs w:val="24"/>
        </w:rPr>
        <w:t>l</w:t>
      </w:r>
      <w:r w:rsidRPr="00AA38D6">
        <w:rPr>
          <w:rFonts w:ascii="Arial" w:eastAsia="Arial" w:hAnsi="Arial" w:cs="Arial"/>
          <w:sz w:val="24"/>
          <w:szCs w:val="24"/>
        </w:rPr>
        <w:t>a Ren</w:t>
      </w:r>
      <w:r w:rsidRPr="00AA38D6">
        <w:rPr>
          <w:rFonts w:ascii="Arial" w:eastAsia="Arial" w:hAnsi="Arial" w:cs="Arial"/>
          <w:spacing w:val="-1"/>
          <w:sz w:val="24"/>
          <w:szCs w:val="24"/>
        </w:rPr>
        <w:t>t</w:t>
      </w:r>
      <w:r w:rsidRPr="00AA38D6">
        <w:rPr>
          <w:rFonts w:ascii="Arial" w:eastAsia="Arial" w:hAnsi="Arial" w:cs="Arial"/>
          <w:spacing w:val="2"/>
          <w:sz w:val="24"/>
          <w:szCs w:val="24"/>
        </w:rPr>
        <w:t>a</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L</w:t>
      </w:r>
      <w:r w:rsidRPr="00AA38D6">
        <w:rPr>
          <w:rFonts w:ascii="Arial" w:eastAsia="Arial" w:hAnsi="Arial" w:cs="Arial"/>
          <w:spacing w:val="1"/>
          <w:sz w:val="24"/>
          <w:szCs w:val="24"/>
        </w:rPr>
        <w:t>e</w:t>
      </w:r>
      <w:r w:rsidRPr="00AA38D6">
        <w:rPr>
          <w:rFonts w:ascii="Arial" w:eastAsia="Arial" w:hAnsi="Arial" w:cs="Arial"/>
          <w:sz w:val="24"/>
          <w:szCs w:val="24"/>
        </w:rPr>
        <w:t>y d</w:t>
      </w:r>
      <w:r w:rsidRPr="00AA38D6">
        <w:rPr>
          <w:rFonts w:ascii="Arial" w:eastAsia="Arial" w:hAnsi="Arial" w:cs="Arial"/>
          <w:spacing w:val="1"/>
          <w:sz w:val="24"/>
          <w:szCs w:val="24"/>
        </w:rPr>
        <w:t>e</w:t>
      </w:r>
      <w:r w:rsidRPr="00AA38D6">
        <w:rPr>
          <w:rFonts w:ascii="Arial" w:eastAsia="Arial" w:hAnsi="Arial" w:cs="Arial"/>
          <w:sz w:val="24"/>
          <w:szCs w:val="24"/>
        </w:rPr>
        <w:t>l I</w:t>
      </w:r>
      <w:r w:rsidRPr="00AA38D6">
        <w:rPr>
          <w:rFonts w:ascii="Arial" w:eastAsia="Arial" w:hAnsi="Arial" w:cs="Arial"/>
          <w:spacing w:val="4"/>
          <w:sz w:val="24"/>
          <w:szCs w:val="24"/>
        </w:rPr>
        <w:t>m</w:t>
      </w:r>
      <w:r w:rsidRPr="00AA38D6">
        <w:rPr>
          <w:rFonts w:ascii="Arial" w:eastAsia="Arial" w:hAnsi="Arial" w:cs="Arial"/>
          <w:sz w:val="24"/>
          <w:szCs w:val="24"/>
        </w:rPr>
        <w:t>p</w:t>
      </w:r>
      <w:r w:rsidRPr="00AA38D6">
        <w:rPr>
          <w:rFonts w:ascii="Arial" w:eastAsia="Arial" w:hAnsi="Arial" w:cs="Arial"/>
          <w:spacing w:val="-1"/>
          <w:sz w:val="24"/>
          <w:szCs w:val="24"/>
        </w:rPr>
        <w:t>u</w:t>
      </w:r>
      <w:r w:rsidRPr="00AA38D6">
        <w:rPr>
          <w:rFonts w:ascii="Arial" w:eastAsia="Arial" w:hAnsi="Arial" w:cs="Arial"/>
          <w:sz w:val="24"/>
          <w:szCs w:val="24"/>
        </w:rPr>
        <w:t>e</w:t>
      </w:r>
      <w:r w:rsidRPr="00AA38D6">
        <w:rPr>
          <w:rFonts w:ascii="Arial" w:eastAsia="Arial" w:hAnsi="Arial" w:cs="Arial"/>
          <w:spacing w:val="1"/>
          <w:sz w:val="24"/>
          <w:szCs w:val="24"/>
        </w:rPr>
        <w:t>s</w:t>
      </w:r>
      <w:r w:rsidRPr="00AA38D6">
        <w:rPr>
          <w:rFonts w:ascii="Arial" w:eastAsia="Arial" w:hAnsi="Arial" w:cs="Arial"/>
          <w:sz w:val="24"/>
          <w:szCs w:val="24"/>
        </w:rPr>
        <w:t xml:space="preserve">to </w:t>
      </w:r>
      <w:r w:rsidRPr="00AA38D6">
        <w:rPr>
          <w:rFonts w:ascii="Arial" w:eastAsia="Arial" w:hAnsi="Arial" w:cs="Arial"/>
          <w:spacing w:val="2"/>
          <w:sz w:val="24"/>
          <w:szCs w:val="24"/>
        </w:rPr>
        <w:t>a</w:t>
      </w:r>
      <w:r w:rsidRPr="00AA38D6">
        <w:rPr>
          <w:rFonts w:ascii="Arial" w:eastAsia="Arial" w:hAnsi="Arial" w:cs="Arial"/>
          <w:sz w:val="24"/>
          <w:szCs w:val="24"/>
        </w:rPr>
        <w:t xml:space="preserve">l </w:t>
      </w:r>
      <w:r w:rsidRPr="00AA38D6">
        <w:rPr>
          <w:rFonts w:ascii="Arial" w:eastAsia="Arial" w:hAnsi="Arial" w:cs="Arial"/>
          <w:spacing w:val="1"/>
          <w:sz w:val="24"/>
          <w:szCs w:val="24"/>
        </w:rPr>
        <w:t>V</w:t>
      </w:r>
      <w:r w:rsidRPr="00AA38D6">
        <w:rPr>
          <w:rFonts w:ascii="Arial" w:eastAsia="Arial" w:hAnsi="Arial" w:cs="Arial"/>
          <w:sz w:val="24"/>
          <w:szCs w:val="24"/>
        </w:rPr>
        <w:t>a</w:t>
      </w:r>
      <w:r w:rsidRPr="00AA38D6">
        <w:rPr>
          <w:rFonts w:ascii="Arial" w:eastAsia="Arial" w:hAnsi="Arial" w:cs="Arial"/>
          <w:spacing w:val="1"/>
          <w:sz w:val="24"/>
          <w:szCs w:val="24"/>
        </w:rPr>
        <w:t>l</w:t>
      </w:r>
      <w:r w:rsidRPr="00AA38D6">
        <w:rPr>
          <w:rFonts w:ascii="Arial" w:eastAsia="Arial" w:hAnsi="Arial" w:cs="Arial"/>
          <w:sz w:val="24"/>
          <w:szCs w:val="24"/>
        </w:rPr>
        <w:t xml:space="preserve">or </w:t>
      </w:r>
      <w:r w:rsidRPr="00AA38D6">
        <w:rPr>
          <w:rFonts w:ascii="Arial" w:eastAsia="Arial" w:hAnsi="Arial" w:cs="Arial"/>
          <w:spacing w:val="2"/>
          <w:sz w:val="24"/>
          <w:szCs w:val="24"/>
        </w:rPr>
        <w:t>A</w:t>
      </w:r>
      <w:r w:rsidRPr="00AA38D6">
        <w:rPr>
          <w:rFonts w:ascii="Arial" w:eastAsia="Arial" w:hAnsi="Arial" w:cs="Arial"/>
          <w:sz w:val="24"/>
          <w:szCs w:val="24"/>
        </w:rPr>
        <w:t>greg</w:t>
      </w:r>
      <w:r w:rsidRPr="00AA38D6">
        <w:rPr>
          <w:rFonts w:ascii="Arial" w:eastAsia="Arial" w:hAnsi="Arial" w:cs="Arial"/>
          <w:spacing w:val="2"/>
          <w:sz w:val="24"/>
          <w:szCs w:val="24"/>
        </w:rPr>
        <w:t>a</w:t>
      </w:r>
      <w:r w:rsidRPr="00AA38D6">
        <w:rPr>
          <w:rFonts w:ascii="Arial" w:eastAsia="Arial" w:hAnsi="Arial" w:cs="Arial"/>
          <w:sz w:val="24"/>
          <w:szCs w:val="24"/>
        </w:rPr>
        <w:t>d</w:t>
      </w:r>
      <w:r w:rsidRPr="00AA38D6">
        <w:rPr>
          <w:rFonts w:ascii="Arial" w:eastAsia="Arial" w:hAnsi="Arial" w:cs="Arial"/>
          <w:spacing w:val="-1"/>
          <w:sz w:val="24"/>
          <w:szCs w:val="24"/>
        </w:rPr>
        <w:t>o</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Cód</w:t>
      </w:r>
      <w:r w:rsidRPr="00AA38D6">
        <w:rPr>
          <w:rFonts w:ascii="Arial" w:eastAsia="Arial" w:hAnsi="Arial" w:cs="Arial"/>
          <w:spacing w:val="1"/>
          <w:sz w:val="24"/>
          <w:szCs w:val="24"/>
        </w:rPr>
        <w:t>i</w:t>
      </w:r>
      <w:r w:rsidRPr="00AA38D6">
        <w:rPr>
          <w:rFonts w:ascii="Arial" w:eastAsia="Arial" w:hAnsi="Arial" w:cs="Arial"/>
          <w:sz w:val="24"/>
          <w:szCs w:val="24"/>
        </w:rPr>
        <w:t xml:space="preserve">go </w:t>
      </w:r>
      <w:r w:rsidRPr="00AA38D6">
        <w:rPr>
          <w:rFonts w:ascii="Arial" w:eastAsia="Arial" w:hAnsi="Arial" w:cs="Arial"/>
          <w:spacing w:val="3"/>
          <w:sz w:val="24"/>
          <w:szCs w:val="24"/>
        </w:rPr>
        <w:t>F</w:t>
      </w:r>
      <w:r w:rsidRPr="00AA38D6">
        <w:rPr>
          <w:rFonts w:ascii="Arial" w:eastAsia="Arial" w:hAnsi="Arial" w:cs="Arial"/>
          <w:spacing w:val="-1"/>
          <w:sz w:val="24"/>
          <w:szCs w:val="24"/>
        </w:rPr>
        <w:t>i</w:t>
      </w:r>
      <w:r w:rsidRPr="00AA38D6">
        <w:rPr>
          <w:rFonts w:ascii="Arial" w:eastAsia="Arial" w:hAnsi="Arial" w:cs="Arial"/>
          <w:spacing w:val="1"/>
          <w:sz w:val="24"/>
          <w:szCs w:val="24"/>
        </w:rPr>
        <w:t>sc</w:t>
      </w:r>
      <w:r w:rsidRPr="00AA38D6">
        <w:rPr>
          <w:rFonts w:ascii="Arial" w:eastAsia="Arial" w:hAnsi="Arial" w:cs="Arial"/>
          <w:sz w:val="24"/>
          <w:szCs w:val="24"/>
        </w:rPr>
        <w:t xml:space="preserve">al </w:t>
      </w:r>
      <w:r w:rsidRPr="00AA38D6">
        <w:rPr>
          <w:rFonts w:ascii="Arial" w:eastAsia="Arial" w:hAnsi="Arial" w:cs="Arial"/>
          <w:spacing w:val="2"/>
          <w:sz w:val="24"/>
          <w:szCs w:val="24"/>
        </w:rPr>
        <w:t>d</w:t>
      </w:r>
      <w:r w:rsidRPr="00AA38D6">
        <w:rPr>
          <w:rFonts w:ascii="Arial" w:eastAsia="Arial" w:hAnsi="Arial" w:cs="Arial"/>
          <w:sz w:val="24"/>
          <w:szCs w:val="24"/>
        </w:rPr>
        <w:t xml:space="preserve">e </w:t>
      </w:r>
      <w:r w:rsidRPr="00AA38D6">
        <w:rPr>
          <w:rFonts w:ascii="Arial" w:eastAsia="Arial" w:hAnsi="Arial" w:cs="Arial"/>
          <w:spacing w:val="1"/>
          <w:sz w:val="24"/>
          <w:szCs w:val="24"/>
        </w:rPr>
        <w:t>l</w:t>
      </w:r>
      <w:r w:rsidRPr="00AA38D6">
        <w:rPr>
          <w:rFonts w:ascii="Arial" w:eastAsia="Arial" w:hAnsi="Arial" w:cs="Arial"/>
          <w:sz w:val="24"/>
          <w:szCs w:val="24"/>
        </w:rPr>
        <w:t>a F</w:t>
      </w:r>
      <w:r w:rsidRPr="00AA38D6">
        <w:rPr>
          <w:rFonts w:ascii="Arial" w:eastAsia="Arial" w:hAnsi="Arial" w:cs="Arial"/>
          <w:spacing w:val="2"/>
          <w:sz w:val="24"/>
          <w:szCs w:val="24"/>
        </w:rPr>
        <w:t>e</w:t>
      </w:r>
      <w:r w:rsidRPr="00AA38D6">
        <w:rPr>
          <w:rFonts w:ascii="Arial" w:eastAsia="Arial" w:hAnsi="Arial" w:cs="Arial"/>
          <w:sz w:val="24"/>
          <w:szCs w:val="24"/>
        </w:rPr>
        <w:t>d</w:t>
      </w:r>
      <w:r w:rsidRPr="00AA38D6">
        <w:rPr>
          <w:rFonts w:ascii="Arial" w:eastAsia="Arial" w:hAnsi="Arial" w:cs="Arial"/>
          <w:spacing w:val="-1"/>
          <w:sz w:val="24"/>
          <w:szCs w:val="24"/>
        </w:rPr>
        <w:t>e</w:t>
      </w:r>
      <w:r w:rsidRPr="00AA38D6">
        <w:rPr>
          <w:rFonts w:ascii="Arial" w:eastAsia="Arial" w:hAnsi="Arial" w:cs="Arial"/>
          <w:spacing w:val="1"/>
          <w:sz w:val="24"/>
          <w:szCs w:val="24"/>
        </w:rPr>
        <w:t>r</w:t>
      </w:r>
      <w:r w:rsidRPr="00AA38D6">
        <w:rPr>
          <w:rFonts w:ascii="Arial" w:eastAsia="Arial" w:hAnsi="Arial" w:cs="Arial"/>
          <w:spacing w:val="2"/>
          <w:sz w:val="24"/>
          <w:szCs w:val="24"/>
        </w:rPr>
        <w:t>a</w:t>
      </w:r>
      <w:r w:rsidRPr="00AA38D6">
        <w:rPr>
          <w:rFonts w:ascii="Arial" w:eastAsia="Arial" w:hAnsi="Arial" w:cs="Arial"/>
          <w:spacing w:val="1"/>
          <w:sz w:val="24"/>
          <w:szCs w:val="24"/>
        </w:rPr>
        <w:t>c</w:t>
      </w:r>
      <w:r w:rsidRPr="00AA38D6">
        <w:rPr>
          <w:rFonts w:ascii="Arial" w:eastAsia="Arial" w:hAnsi="Arial" w:cs="Arial"/>
          <w:spacing w:val="-1"/>
          <w:sz w:val="24"/>
          <w:szCs w:val="24"/>
        </w:rPr>
        <w:t>i</w:t>
      </w:r>
      <w:r w:rsidRPr="00AA38D6">
        <w:rPr>
          <w:rFonts w:ascii="Arial" w:eastAsia="Arial" w:hAnsi="Arial" w:cs="Arial"/>
          <w:sz w:val="24"/>
          <w:szCs w:val="24"/>
        </w:rPr>
        <w:t>ó</w:t>
      </w:r>
      <w:r w:rsidRPr="00AA38D6">
        <w:rPr>
          <w:rFonts w:ascii="Arial" w:eastAsia="Arial" w:hAnsi="Arial" w:cs="Arial"/>
          <w:spacing w:val="-1"/>
          <w:sz w:val="24"/>
          <w:szCs w:val="24"/>
        </w:rPr>
        <w:t>n</w:t>
      </w:r>
      <w:r w:rsidRPr="00AA38D6">
        <w:rPr>
          <w:rFonts w:ascii="Arial" w:eastAsia="Arial" w:hAnsi="Arial" w:cs="Arial"/>
          <w:sz w:val="24"/>
          <w:szCs w:val="24"/>
        </w:rPr>
        <w:t>.</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Nor</w:t>
      </w:r>
      <w:r w:rsidRPr="00AA38D6">
        <w:rPr>
          <w:rFonts w:ascii="Arial" w:eastAsia="Arial" w:hAnsi="Arial" w:cs="Arial"/>
          <w:spacing w:val="4"/>
          <w:sz w:val="24"/>
          <w:szCs w:val="24"/>
        </w:rPr>
        <w:t>m</w:t>
      </w:r>
      <w:r w:rsidRPr="00AA38D6">
        <w:rPr>
          <w:rFonts w:ascii="Arial" w:eastAsia="Arial" w:hAnsi="Arial" w:cs="Arial"/>
          <w:sz w:val="24"/>
          <w:szCs w:val="24"/>
        </w:rPr>
        <w:t>as I</w:t>
      </w:r>
      <w:r w:rsidRPr="00AA38D6">
        <w:rPr>
          <w:rFonts w:ascii="Arial" w:eastAsia="Arial" w:hAnsi="Arial" w:cs="Arial"/>
          <w:spacing w:val="-1"/>
          <w:sz w:val="24"/>
          <w:szCs w:val="24"/>
        </w:rPr>
        <w:t>n</w:t>
      </w:r>
      <w:r w:rsidRPr="00AA38D6">
        <w:rPr>
          <w:rFonts w:ascii="Arial" w:eastAsia="Arial" w:hAnsi="Arial" w:cs="Arial"/>
          <w:sz w:val="24"/>
          <w:szCs w:val="24"/>
        </w:rPr>
        <w:t>terna</w:t>
      </w:r>
      <w:r w:rsidRPr="00AA38D6">
        <w:rPr>
          <w:rFonts w:ascii="Arial" w:eastAsia="Arial" w:hAnsi="Arial" w:cs="Arial"/>
          <w:spacing w:val="1"/>
          <w:sz w:val="24"/>
          <w:szCs w:val="24"/>
        </w:rPr>
        <w:t>c</w:t>
      </w:r>
      <w:r w:rsidRPr="00AA38D6">
        <w:rPr>
          <w:rFonts w:ascii="Arial" w:eastAsia="Arial" w:hAnsi="Arial" w:cs="Arial"/>
          <w:spacing w:val="-1"/>
          <w:sz w:val="24"/>
          <w:szCs w:val="24"/>
        </w:rPr>
        <w:t>i</w:t>
      </w:r>
      <w:r w:rsidRPr="00AA38D6">
        <w:rPr>
          <w:rFonts w:ascii="Arial" w:eastAsia="Arial" w:hAnsi="Arial" w:cs="Arial"/>
          <w:sz w:val="24"/>
          <w:szCs w:val="24"/>
        </w:rPr>
        <w:t>o</w:t>
      </w:r>
      <w:r w:rsidRPr="00AA38D6">
        <w:rPr>
          <w:rFonts w:ascii="Arial" w:eastAsia="Arial" w:hAnsi="Arial" w:cs="Arial"/>
          <w:spacing w:val="1"/>
          <w:sz w:val="24"/>
          <w:szCs w:val="24"/>
        </w:rPr>
        <w:t>n</w:t>
      </w:r>
      <w:r w:rsidRPr="00AA38D6">
        <w:rPr>
          <w:rFonts w:ascii="Arial" w:eastAsia="Arial" w:hAnsi="Arial" w:cs="Arial"/>
          <w:sz w:val="24"/>
          <w:szCs w:val="24"/>
        </w:rPr>
        <w:t>a</w:t>
      </w:r>
      <w:r w:rsidRPr="00AA38D6">
        <w:rPr>
          <w:rFonts w:ascii="Arial" w:eastAsia="Arial" w:hAnsi="Arial" w:cs="Arial"/>
          <w:spacing w:val="-1"/>
          <w:sz w:val="24"/>
          <w:szCs w:val="24"/>
        </w:rPr>
        <w:t>l</w:t>
      </w:r>
      <w:r w:rsidRPr="00AA38D6">
        <w:rPr>
          <w:rFonts w:ascii="Arial" w:eastAsia="Arial" w:hAnsi="Arial" w:cs="Arial"/>
          <w:sz w:val="24"/>
          <w:szCs w:val="24"/>
        </w:rPr>
        <w:t>es de</w:t>
      </w:r>
      <w:r w:rsidRPr="00AA38D6">
        <w:rPr>
          <w:rFonts w:ascii="Arial" w:eastAsia="Arial" w:hAnsi="Arial" w:cs="Arial"/>
          <w:spacing w:val="-1"/>
          <w:sz w:val="24"/>
          <w:szCs w:val="24"/>
        </w:rPr>
        <w:t xml:space="preserve"> A</w:t>
      </w:r>
      <w:r w:rsidRPr="00AA38D6">
        <w:rPr>
          <w:rFonts w:ascii="Arial" w:eastAsia="Arial" w:hAnsi="Arial" w:cs="Arial"/>
          <w:sz w:val="24"/>
          <w:szCs w:val="24"/>
        </w:rPr>
        <w:t>u</w:t>
      </w:r>
      <w:r w:rsidRPr="00AA38D6">
        <w:rPr>
          <w:rFonts w:ascii="Arial" w:eastAsia="Arial" w:hAnsi="Arial" w:cs="Arial"/>
          <w:spacing w:val="1"/>
          <w:sz w:val="24"/>
          <w:szCs w:val="24"/>
        </w:rPr>
        <w:t>d</w:t>
      </w:r>
      <w:r w:rsidRPr="00AA38D6">
        <w:rPr>
          <w:rFonts w:ascii="Arial" w:eastAsia="Arial" w:hAnsi="Arial" w:cs="Arial"/>
          <w:spacing w:val="-1"/>
          <w:sz w:val="24"/>
          <w:szCs w:val="24"/>
        </w:rPr>
        <w:t>i</w:t>
      </w:r>
      <w:r w:rsidRPr="00AA38D6">
        <w:rPr>
          <w:rFonts w:ascii="Arial" w:eastAsia="Arial" w:hAnsi="Arial" w:cs="Arial"/>
          <w:sz w:val="24"/>
          <w:szCs w:val="24"/>
        </w:rPr>
        <w:t>tor</w:t>
      </w:r>
      <w:r w:rsidRPr="00AA38D6">
        <w:rPr>
          <w:rFonts w:ascii="Arial" w:eastAsia="Arial" w:hAnsi="Arial" w:cs="Arial"/>
          <w:spacing w:val="2"/>
          <w:sz w:val="24"/>
          <w:szCs w:val="24"/>
        </w:rPr>
        <w:t>í</w:t>
      </w:r>
      <w:r w:rsidRPr="00AA38D6">
        <w:rPr>
          <w:rFonts w:ascii="Arial" w:eastAsia="Arial" w:hAnsi="Arial" w:cs="Arial"/>
          <w:sz w:val="24"/>
          <w:szCs w:val="24"/>
        </w:rPr>
        <w:t>a.</w:t>
      </w:r>
    </w:p>
    <w:p w:rsidR="00AA38D6" w:rsidRP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Normas de Información Financiera.</w:t>
      </w:r>
    </w:p>
    <w:p w:rsidR="00AA38D6" w:rsidRDefault="00AA38D6" w:rsidP="00523C2C">
      <w:pPr>
        <w:pStyle w:val="Prrafodelista"/>
        <w:numPr>
          <w:ilvl w:val="0"/>
          <w:numId w:val="13"/>
        </w:numPr>
        <w:spacing w:after="0" w:line="240" w:lineRule="auto"/>
        <w:ind w:left="426" w:right="-518" w:hanging="426"/>
        <w:jc w:val="both"/>
        <w:rPr>
          <w:rFonts w:ascii="Arial" w:eastAsia="Arial" w:hAnsi="Arial" w:cs="Arial"/>
          <w:sz w:val="24"/>
          <w:szCs w:val="24"/>
        </w:rPr>
      </w:pPr>
      <w:r w:rsidRPr="00AA38D6">
        <w:rPr>
          <w:rFonts w:ascii="Arial" w:eastAsia="Arial" w:hAnsi="Arial" w:cs="Arial"/>
          <w:sz w:val="24"/>
          <w:szCs w:val="24"/>
        </w:rPr>
        <w:t>Reglamento de Fiscalización aprobado el 23 de diciembre de 2014 por el Consejo General del Instituto Nacional Electoral mediante Acuerdo INE/CG350/2014.</w:t>
      </w:r>
    </w:p>
    <w:p w:rsidR="00CA626A" w:rsidRPr="00AA38D6" w:rsidRDefault="00C1403F" w:rsidP="00523C2C">
      <w:pPr>
        <w:pStyle w:val="Prrafodelista"/>
        <w:numPr>
          <w:ilvl w:val="0"/>
          <w:numId w:val="13"/>
        </w:numPr>
        <w:spacing w:after="0" w:line="240" w:lineRule="auto"/>
        <w:ind w:left="426" w:right="-518" w:hanging="426"/>
        <w:jc w:val="both"/>
        <w:rPr>
          <w:rFonts w:ascii="Arial" w:eastAsia="Arial" w:hAnsi="Arial" w:cs="Arial"/>
          <w:sz w:val="24"/>
          <w:szCs w:val="24"/>
        </w:rPr>
      </w:pPr>
      <w:r>
        <w:rPr>
          <w:rFonts w:ascii="Arial" w:eastAsia="Arial" w:hAnsi="Arial" w:cs="Arial"/>
          <w:sz w:val="24"/>
          <w:szCs w:val="24"/>
        </w:rPr>
        <w:t>Ley de Partidos Políticos para el Estado de Tlaxcala</w:t>
      </w:r>
      <w:bookmarkStart w:id="0" w:name="_GoBack"/>
      <w:bookmarkEnd w:id="0"/>
    </w:p>
    <w:p w:rsidR="00AA38D6" w:rsidRDefault="00AA38D6" w:rsidP="00523C2C">
      <w:pPr>
        <w:spacing w:after="0" w:line="240" w:lineRule="auto"/>
        <w:ind w:right="-518"/>
        <w:rPr>
          <w:rFonts w:ascii="Arial" w:hAnsi="Arial" w:cs="Arial"/>
          <w:b/>
          <w:sz w:val="24"/>
          <w:szCs w:val="24"/>
        </w:rPr>
      </w:pPr>
    </w:p>
    <w:p w:rsidR="00AA38D6" w:rsidRPr="00FB5928" w:rsidRDefault="00F37016" w:rsidP="00523C2C">
      <w:pPr>
        <w:spacing w:after="0" w:line="240" w:lineRule="auto"/>
        <w:ind w:right="-518"/>
        <w:jc w:val="both"/>
        <w:rPr>
          <w:rFonts w:ascii="Arial" w:hAnsi="Arial" w:cs="Arial"/>
          <w:sz w:val="24"/>
          <w:szCs w:val="24"/>
        </w:rPr>
      </w:pPr>
      <w:r w:rsidRPr="00FB5928">
        <w:rPr>
          <w:rFonts w:ascii="Arial" w:hAnsi="Arial" w:cs="Arial"/>
          <w:b/>
          <w:sz w:val="24"/>
          <w:szCs w:val="24"/>
        </w:rPr>
        <w:t>2.1.</w:t>
      </w:r>
      <w:r w:rsidRPr="00FB5928">
        <w:rPr>
          <w:rFonts w:ascii="Arial" w:hAnsi="Arial" w:cs="Arial"/>
          <w:sz w:val="24"/>
          <w:szCs w:val="24"/>
        </w:rPr>
        <w:t xml:space="preserve"> La Constitución Política de los Estados Unidos Mexicanos establece los principios básicos del régimen de fiscalización de los recursos de los partidos y las agrupaciones políticas. Dichos principios han sido recogidos y desarrollados posteriormente en la legislación que resulta aplicable para la revisión de los Informes Anuales de los partidos políticos, la elaboración del presente Dictamen y del Proyecto de Resolución que lo acompaña, así como su presentación ante el Consejo General del Instituto. La parte conducente se transcribe a continuación: </w:t>
      </w:r>
      <w:r w:rsidR="00463D2A" w:rsidRPr="00FB5928">
        <w:rPr>
          <w:rFonts w:ascii="Arial" w:hAnsi="Arial" w:cs="Arial"/>
          <w:b/>
          <w:sz w:val="24"/>
          <w:szCs w:val="24"/>
        </w:rPr>
        <w:t xml:space="preserve">Artículo </w:t>
      </w:r>
      <w:r w:rsidRPr="00FB5928">
        <w:rPr>
          <w:rFonts w:ascii="Arial" w:hAnsi="Arial" w:cs="Arial"/>
          <w:b/>
          <w:sz w:val="24"/>
          <w:szCs w:val="24"/>
        </w:rPr>
        <w:t>41</w:t>
      </w:r>
      <w:r w:rsidRPr="00FB5928">
        <w:rPr>
          <w:rFonts w:ascii="Arial" w:hAnsi="Arial" w:cs="Arial"/>
          <w:sz w:val="24"/>
          <w:szCs w:val="24"/>
        </w:rPr>
        <w:t xml:space="preserve"> "(…) </w:t>
      </w:r>
      <w:r w:rsidRPr="00FB5928">
        <w:rPr>
          <w:rFonts w:ascii="Arial" w:hAnsi="Arial" w:cs="Arial"/>
          <w:b/>
          <w:sz w:val="24"/>
          <w:szCs w:val="24"/>
        </w:rPr>
        <w:t>I.</w:t>
      </w:r>
      <w:r w:rsidRPr="00FB5928">
        <w:rPr>
          <w:rFonts w:ascii="Arial" w:hAnsi="Arial" w:cs="Arial"/>
          <w:sz w:val="24"/>
          <w:szCs w:val="24"/>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 </w:t>
      </w:r>
      <w:r w:rsidRPr="00FB5928">
        <w:rPr>
          <w:rFonts w:ascii="Arial" w:hAnsi="Arial" w:cs="Arial"/>
          <w:b/>
          <w:sz w:val="24"/>
          <w:szCs w:val="24"/>
        </w:rPr>
        <w:t>II.</w:t>
      </w:r>
      <w:r w:rsidRPr="00FB5928">
        <w:rPr>
          <w:rFonts w:ascii="Arial" w:hAnsi="Arial" w:cs="Arial"/>
          <w:sz w:val="24"/>
          <w:szCs w:val="24"/>
        </w:rPr>
        <w:t xml:space="preserv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r w:rsidR="00150EB4" w:rsidRPr="00FB5928">
        <w:rPr>
          <w:rFonts w:ascii="Arial" w:hAnsi="Arial" w:cs="Arial"/>
          <w:sz w:val="24"/>
          <w:szCs w:val="24"/>
        </w:rPr>
        <w:t>. (</w:t>
      </w:r>
      <w:r w:rsidRPr="00FB5928">
        <w:rPr>
          <w:rFonts w:ascii="Arial" w:hAnsi="Arial" w:cs="Arial"/>
          <w:sz w:val="24"/>
          <w:szCs w:val="24"/>
        </w:rPr>
        <w:t xml:space="preserve">...) </w:t>
      </w:r>
      <w:r w:rsidR="00B4645B" w:rsidRPr="00FB5928">
        <w:rPr>
          <w:rFonts w:ascii="Arial" w:hAnsi="Arial" w:cs="Arial"/>
          <w:b/>
          <w:sz w:val="24"/>
          <w:szCs w:val="24"/>
        </w:rPr>
        <w:t>Inciso c), penúltimo párrafo,</w:t>
      </w:r>
      <w:r w:rsidR="00B4645B" w:rsidRPr="00FB5928">
        <w:rPr>
          <w:rFonts w:ascii="Arial" w:hAnsi="Arial" w:cs="Arial"/>
          <w:sz w:val="24"/>
          <w:szCs w:val="24"/>
        </w:rPr>
        <w:t xml:space="preserve"> </w:t>
      </w:r>
      <w:r w:rsidRPr="00FB5928">
        <w:rPr>
          <w:rFonts w:ascii="Arial" w:hAnsi="Arial" w:cs="Arial"/>
          <w:sz w:val="24"/>
          <w:szCs w:val="24"/>
        </w:rPr>
        <w:t xml:space="preserve">La ley fijará los límites a las erogaciones en los procesos internos de selección de candidatos y las campañas electorales. La propia ley establecerá el monto máximo que tendrán las aportaciones de sus militantes y simpatizantes; ordenará los procedimientos para el </w:t>
      </w:r>
      <w:r w:rsidRPr="00FB5928">
        <w:rPr>
          <w:rFonts w:ascii="Arial" w:hAnsi="Arial" w:cs="Arial"/>
          <w:sz w:val="24"/>
          <w:szCs w:val="24"/>
        </w:rPr>
        <w:lastRenderedPageBreak/>
        <w:t xml:space="preserve">control, fiscalización oportuna y vigilancia, durante la campaña, del origen y uso de todos los recursos con que cuenten; asimismo, dispondrá las sanciones que deban imponerse por el incumplimiento de estas disposiciones. De igual manera, la ley establecerá el procedimiento para la liquidación de las obligaciones de los partidos que pierdan su registro y los supuestos en los que sus bienes y remanentes serán adjudicados a la Federación. (...) </w:t>
      </w:r>
      <w:r w:rsidRPr="00FB5928">
        <w:rPr>
          <w:rFonts w:ascii="Arial" w:hAnsi="Arial" w:cs="Arial"/>
          <w:b/>
          <w:sz w:val="24"/>
          <w:szCs w:val="24"/>
        </w:rPr>
        <w:t>V.</w:t>
      </w:r>
      <w:r w:rsidRPr="00FB5928">
        <w:rPr>
          <w:rFonts w:ascii="Arial" w:hAnsi="Arial" w:cs="Arial"/>
          <w:sz w:val="24"/>
          <w:szCs w:val="24"/>
        </w:rPr>
        <w:t xml:space="preserve"> La organización de las elecciones es una función estatal que se realiza a través del Instituto Nacional Electoral y de los organismos públicos locales, en los términos que establece esta Constitución. (...) </w:t>
      </w:r>
      <w:r w:rsidR="00B4645B" w:rsidRPr="00FB5928">
        <w:rPr>
          <w:rFonts w:ascii="Arial" w:hAnsi="Arial" w:cs="Arial"/>
          <w:b/>
          <w:sz w:val="24"/>
          <w:szCs w:val="24"/>
        </w:rPr>
        <w:t>Apartado A, segundo párrafo</w:t>
      </w:r>
      <w:r w:rsidR="00B4645B" w:rsidRPr="00FB5928">
        <w:rPr>
          <w:rFonts w:ascii="Arial" w:hAnsi="Arial" w:cs="Arial"/>
          <w:sz w:val="24"/>
          <w:szCs w:val="24"/>
        </w:rPr>
        <w:t xml:space="preserve">, </w:t>
      </w:r>
      <w:r w:rsidRPr="00FB5928">
        <w:rPr>
          <w:rFonts w:ascii="Arial" w:hAnsi="Arial" w:cs="Arial"/>
          <w:sz w:val="24"/>
          <w:szCs w:val="24"/>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Una Contraloría General tendrá a su cargo, con autonomía técnica y de gestión, la fiscalización de todos los ingresos y egresos del Instituto. Las disposiciones de la ley</w:t>
      </w:r>
      <w:r w:rsidR="00B4645B" w:rsidRPr="00FB5928">
        <w:rPr>
          <w:rFonts w:ascii="Arial" w:hAnsi="Arial" w:cs="Arial"/>
          <w:sz w:val="24"/>
          <w:szCs w:val="24"/>
        </w:rPr>
        <w:t xml:space="preserve"> </w:t>
      </w:r>
      <w:r w:rsidRPr="00FB5928">
        <w:rPr>
          <w:rFonts w:ascii="Arial" w:hAnsi="Arial" w:cs="Arial"/>
          <w:sz w:val="24"/>
          <w:szCs w:val="24"/>
        </w:rPr>
        <w:t xml:space="preserve">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 (...) </w:t>
      </w:r>
      <w:r w:rsidR="00B4645B" w:rsidRPr="00FB5928">
        <w:rPr>
          <w:rFonts w:ascii="Arial" w:hAnsi="Arial" w:cs="Arial"/>
          <w:b/>
          <w:sz w:val="24"/>
          <w:szCs w:val="24"/>
        </w:rPr>
        <w:t xml:space="preserve">Apartado B, </w:t>
      </w:r>
      <w:r w:rsidRPr="00FB5928">
        <w:rPr>
          <w:rFonts w:ascii="Arial" w:hAnsi="Arial" w:cs="Arial"/>
          <w:sz w:val="24"/>
          <w:szCs w:val="24"/>
        </w:rPr>
        <w:t xml:space="preserve">Corresponde al Instituto Nacional Electoral en los términos que establecen esta Constitución y las leyes: </w:t>
      </w:r>
      <w:r w:rsidR="00B4645B" w:rsidRPr="00FB5928">
        <w:rPr>
          <w:rFonts w:ascii="Arial" w:hAnsi="Arial" w:cs="Arial"/>
          <w:b/>
          <w:sz w:val="24"/>
          <w:szCs w:val="24"/>
        </w:rPr>
        <w:t>Inciso a)</w:t>
      </w:r>
      <w:r w:rsidR="00B4645B" w:rsidRPr="00FB5928">
        <w:rPr>
          <w:rFonts w:ascii="Arial" w:hAnsi="Arial" w:cs="Arial"/>
          <w:sz w:val="24"/>
          <w:szCs w:val="24"/>
        </w:rPr>
        <w:t xml:space="preserve"> </w:t>
      </w:r>
      <w:r w:rsidRPr="00FB5928">
        <w:rPr>
          <w:rFonts w:ascii="Arial" w:hAnsi="Arial" w:cs="Arial"/>
          <w:sz w:val="24"/>
          <w:szCs w:val="24"/>
        </w:rPr>
        <w:t>(...)</w:t>
      </w:r>
      <w:r w:rsidR="00B4645B" w:rsidRPr="00FB5928">
        <w:rPr>
          <w:rFonts w:ascii="Arial" w:hAnsi="Arial" w:cs="Arial"/>
          <w:sz w:val="24"/>
          <w:szCs w:val="24"/>
        </w:rPr>
        <w:t xml:space="preserve"> </w:t>
      </w:r>
      <w:r w:rsidRPr="00FB5928">
        <w:rPr>
          <w:rFonts w:ascii="Arial" w:hAnsi="Arial" w:cs="Arial"/>
          <w:b/>
          <w:sz w:val="24"/>
          <w:szCs w:val="24"/>
        </w:rPr>
        <w:t>6.</w:t>
      </w:r>
      <w:r w:rsidRPr="00FB5928">
        <w:rPr>
          <w:rFonts w:ascii="Arial" w:hAnsi="Arial" w:cs="Arial"/>
          <w:sz w:val="24"/>
          <w:szCs w:val="24"/>
        </w:rPr>
        <w:t xml:space="preserve"> La fiscalización de los ingresos y egresos de los partidos políticos y candidatos, (...)"</w:t>
      </w:r>
      <w:r w:rsidR="00D06E80" w:rsidRPr="00FB5928">
        <w:rPr>
          <w:rFonts w:ascii="Arial" w:hAnsi="Arial" w:cs="Arial"/>
          <w:sz w:val="24"/>
          <w:szCs w:val="24"/>
        </w:rPr>
        <w:t>.</w:t>
      </w:r>
      <w:r w:rsidRPr="00FB5928">
        <w:rPr>
          <w:rFonts w:ascii="Arial" w:hAnsi="Arial" w:cs="Arial"/>
          <w:sz w:val="24"/>
          <w:szCs w:val="24"/>
        </w:rPr>
        <w:t xml:space="preserve"> </w:t>
      </w:r>
    </w:p>
    <w:p w:rsidR="00AA38D6" w:rsidRPr="00FB5928" w:rsidRDefault="00AA38D6" w:rsidP="00523C2C">
      <w:pPr>
        <w:spacing w:after="0" w:line="240" w:lineRule="auto"/>
        <w:ind w:right="-518"/>
        <w:jc w:val="both"/>
        <w:rPr>
          <w:rFonts w:ascii="Arial" w:hAnsi="Arial" w:cs="Arial"/>
          <w:sz w:val="24"/>
          <w:szCs w:val="24"/>
        </w:rPr>
      </w:pPr>
    </w:p>
    <w:p w:rsidR="00E73C6C" w:rsidRPr="00FB5928" w:rsidRDefault="00E73C6C" w:rsidP="00E73C6C">
      <w:pPr>
        <w:spacing w:after="0" w:line="240" w:lineRule="auto"/>
        <w:ind w:right="-518"/>
        <w:jc w:val="both"/>
        <w:rPr>
          <w:rFonts w:ascii="Arial" w:hAnsi="Arial" w:cs="Arial"/>
          <w:sz w:val="24"/>
          <w:szCs w:val="24"/>
        </w:rPr>
      </w:pPr>
      <w:r w:rsidRPr="00FB5928">
        <w:rPr>
          <w:rFonts w:ascii="Arial" w:hAnsi="Arial" w:cs="Arial"/>
          <w:b/>
          <w:sz w:val="24"/>
          <w:szCs w:val="24"/>
        </w:rPr>
        <w:t xml:space="preserve">2.2 </w:t>
      </w:r>
      <w:r w:rsidRPr="00FB5928">
        <w:rPr>
          <w:rFonts w:ascii="Arial" w:hAnsi="Arial" w:cs="Arial"/>
          <w:sz w:val="24"/>
          <w:szCs w:val="24"/>
        </w:rPr>
        <w:t>La Unidad Técnica de Fiscalización, es el órgano técnico del Consejo General del Instituto Nacional Electoral encargada de la recepción y revisión integral de los informes que presenten los partidos políticos nacionales, respecto del origen y monto de los recursos que reciban por cualquier modalidad de financiamiento, así como su destino y aplicación, en el ejercicio de dicha facultad, podrá requerir a las personas físicas o morales, públicas o privadas, en relación con las operaciones que realicen con los partidos políticos la información  necesaria para el cumplimiento de sus tareas, así como de comprobar la veracidad de lo reportado por los institutos políticos.</w:t>
      </w:r>
    </w:p>
    <w:p w:rsidR="00E73C6C" w:rsidRPr="00FB5928" w:rsidRDefault="00E73C6C" w:rsidP="00E73C6C">
      <w:pPr>
        <w:spacing w:after="0" w:line="240" w:lineRule="auto"/>
        <w:ind w:right="-518"/>
        <w:jc w:val="both"/>
        <w:rPr>
          <w:rFonts w:ascii="Arial" w:hAnsi="Arial" w:cs="Arial"/>
          <w:sz w:val="24"/>
          <w:szCs w:val="24"/>
        </w:rPr>
      </w:pPr>
    </w:p>
    <w:p w:rsidR="00E73C6C" w:rsidRPr="00FB5928" w:rsidRDefault="00A22090" w:rsidP="00E73C6C">
      <w:pPr>
        <w:spacing w:after="0" w:line="240" w:lineRule="auto"/>
        <w:ind w:right="-518"/>
        <w:jc w:val="both"/>
        <w:rPr>
          <w:rFonts w:ascii="Arial" w:hAnsi="Arial" w:cs="Arial"/>
          <w:sz w:val="24"/>
          <w:szCs w:val="24"/>
        </w:rPr>
      </w:pPr>
      <w:r w:rsidRPr="00FB5928">
        <w:rPr>
          <w:rFonts w:ascii="Arial" w:hAnsi="Arial" w:cs="Arial"/>
          <w:sz w:val="24"/>
          <w:szCs w:val="24"/>
        </w:rPr>
        <w:t xml:space="preserve">De conformidad con la Ley General de Instituciones y Procedimientos Electorales, en sus artículos </w:t>
      </w:r>
      <w:r w:rsidR="00E73C6C" w:rsidRPr="00FB5928">
        <w:rPr>
          <w:rFonts w:ascii="Arial" w:hAnsi="Arial" w:cs="Arial"/>
          <w:sz w:val="24"/>
          <w:szCs w:val="24"/>
        </w:rPr>
        <w:t xml:space="preserve">32, numeral 1, inciso a), fracción VI “(…) es atribución del Instituto, fiscalizar los ingresos y egresos de los partidos políticos y candidatos; 190, numeral 2 (…) la fiscalización de las finanzas de los partidos políticos, estará a cargo del Consejo General por conducto de su Comisión de Fiscalización; 192, numerales 2 y 3 (…) para el cumplimiento de sus funciones, la Comisión de Fiscalización, contará con una </w:t>
      </w:r>
      <w:r w:rsidR="007D7C3C" w:rsidRPr="00FB5928">
        <w:rPr>
          <w:rFonts w:ascii="Arial" w:hAnsi="Arial" w:cs="Arial"/>
          <w:sz w:val="24"/>
          <w:szCs w:val="24"/>
        </w:rPr>
        <w:t xml:space="preserve">unidad técnica </w:t>
      </w:r>
      <w:r w:rsidR="00E73C6C" w:rsidRPr="00FB5928">
        <w:rPr>
          <w:rFonts w:ascii="Arial" w:hAnsi="Arial" w:cs="Arial"/>
          <w:sz w:val="24"/>
          <w:szCs w:val="24"/>
        </w:rPr>
        <w:t xml:space="preserve">en la </w:t>
      </w:r>
      <w:r w:rsidR="007D7C3C" w:rsidRPr="00FB5928">
        <w:rPr>
          <w:rFonts w:ascii="Arial" w:hAnsi="Arial" w:cs="Arial"/>
          <w:sz w:val="24"/>
          <w:szCs w:val="24"/>
        </w:rPr>
        <w:t>materia</w:t>
      </w:r>
      <w:r w:rsidR="00E73C6C" w:rsidRPr="00FB5928">
        <w:rPr>
          <w:rFonts w:ascii="Arial" w:hAnsi="Arial" w:cs="Arial"/>
          <w:sz w:val="24"/>
          <w:szCs w:val="24"/>
        </w:rPr>
        <w:t>, cuyas facultades de la Comisión serán ejercidas respetando la plena independencia técnica de su Unidad Técnica de Fiscalización; 196, numeral 1</w:t>
      </w:r>
      <w:r w:rsidR="007D7C3C" w:rsidRPr="00FB5928">
        <w:rPr>
          <w:rFonts w:ascii="Arial" w:hAnsi="Arial" w:cs="Arial"/>
          <w:sz w:val="24"/>
          <w:szCs w:val="24"/>
        </w:rPr>
        <w:t xml:space="preserve"> (…) La Unidad Técnica de Fiscalización de la Comisión de Fiscalización del Instituto Nacional Electoral, es el órgano que tiene a su cargo la recepción y revisión integral de los informes que presenten los partidos políticos, respecto del origen, monto, destino y aplicación de </w:t>
      </w:r>
      <w:r w:rsidR="007D7C3C" w:rsidRPr="00FB5928">
        <w:rPr>
          <w:rFonts w:ascii="Arial" w:hAnsi="Arial" w:cs="Arial"/>
          <w:sz w:val="24"/>
          <w:szCs w:val="24"/>
        </w:rPr>
        <w:lastRenderedPageBreak/>
        <w:t>los recursos que reciban por cualquier tipo de financiamiento</w:t>
      </w:r>
      <w:r w:rsidR="00E73C6C" w:rsidRPr="00FB5928">
        <w:rPr>
          <w:rFonts w:ascii="Arial" w:hAnsi="Arial" w:cs="Arial"/>
          <w:sz w:val="24"/>
          <w:szCs w:val="24"/>
        </w:rPr>
        <w:t xml:space="preserve">; 199, numeral 1, </w:t>
      </w:r>
      <w:r w:rsidR="007D7C3C" w:rsidRPr="00FB5928">
        <w:rPr>
          <w:rFonts w:ascii="Arial" w:hAnsi="Arial" w:cs="Arial"/>
          <w:sz w:val="24"/>
          <w:szCs w:val="24"/>
        </w:rPr>
        <w:t xml:space="preserve">incisos a), c), d), e), g) y h) (…) La Unidad Técnica de Fiscalización, tendrá las facultades de auditar con plena independencia técnica la documentación soporte, así como la contabilidad que presentan los partidos políticos; vigilar que los recursos de los partidos tengan origen licito y se apliquen exclusivamente para el cumplimiento de los objetivos de los partidos políticos; recibir y revisar los informes anuales de los partidos políticos nacionales y locales; requerir información complementaria respecto de los diversos apartados de los informes de ingresos y egresos o documentación comprobatoria de cualquier otro aspecto vinculado a los mismos; presentar a la Comisión de Fiscalización los informes de resultados, dictámenes consolidados y proyectos de resolución sobre las auditorías y verificaciones practicadas a los partidos políticos; y verificar las operaciones de partidos políticos con proveedores y 200, la Unidad Técnica de Fiscalización, requerir información y documentación necesaria para el cumplimiento de sus atribuciones, a instituciones públicas, personas morales y físicas, </w:t>
      </w:r>
      <w:r w:rsidRPr="00FB5928">
        <w:rPr>
          <w:rFonts w:ascii="Arial" w:hAnsi="Arial" w:cs="Arial"/>
          <w:sz w:val="24"/>
          <w:szCs w:val="24"/>
        </w:rPr>
        <w:t>superando el secreto bancario, fiduciario y fiscal. En relación con</w:t>
      </w:r>
      <w:r w:rsidR="00E73C6C" w:rsidRPr="00FB5928">
        <w:rPr>
          <w:rFonts w:ascii="Arial" w:hAnsi="Arial" w:cs="Arial"/>
          <w:sz w:val="24"/>
          <w:szCs w:val="24"/>
        </w:rPr>
        <w:t xml:space="preserve"> los artículos 7, numeral 1, inciso d)</w:t>
      </w:r>
      <w:r w:rsidR="002A2A92" w:rsidRPr="00FB5928">
        <w:rPr>
          <w:rFonts w:ascii="Arial" w:hAnsi="Arial" w:cs="Arial"/>
          <w:sz w:val="24"/>
          <w:szCs w:val="24"/>
        </w:rPr>
        <w:t xml:space="preserve"> (…) corresponde al instituto la atribución referente a la fiscalización de ingresos y egresos de los partidos </w:t>
      </w:r>
      <w:r w:rsidR="005C4D11" w:rsidRPr="00FB5928">
        <w:rPr>
          <w:rFonts w:ascii="Arial" w:hAnsi="Arial" w:cs="Arial"/>
          <w:sz w:val="24"/>
          <w:szCs w:val="24"/>
        </w:rPr>
        <w:t>políticos</w:t>
      </w:r>
      <w:r w:rsidR="002A2A92" w:rsidRPr="00FB5928">
        <w:rPr>
          <w:rFonts w:ascii="Arial" w:hAnsi="Arial" w:cs="Arial"/>
          <w:sz w:val="24"/>
          <w:szCs w:val="24"/>
        </w:rPr>
        <w:t>, sus coaliciones, las agrupaciones políticas nacionales y de los candidatos a los cargos de elección popular federal y local</w:t>
      </w:r>
      <w:r w:rsidR="00E73C6C" w:rsidRPr="00FB5928">
        <w:rPr>
          <w:rFonts w:ascii="Arial" w:hAnsi="Arial" w:cs="Arial"/>
          <w:sz w:val="24"/>
          <w:szCs w:val="24"/>
        </w:rPr>
        <w:t>; de la Ley General de Partidos Políticos.</w:t>
      </w:r>
    </w:p>
    <w:p w:rsidR="00E73C6C" w:rsidRPr="00FB5928" w:rsidRDefault="00E73C6C" w:rsidP="00E73C6C">
      <w:pPr>
        <w:spacing w:after="0" w:line="240" w:lineRule="auto"/>
        <w:ind w:right="-518"/>
        <w:jc w:val="both"/>
        <w:rPr>
          <w:rFonts w:ascii="Arial" w:hAnsi="Arial" w:cs="Arial"/>
          <w:sz w:val="24"/>
          <w:szCs w:val="24"/>
        </w:rPr>
      </w:pPr>
    </w:p>
    <w:p w:rsidR="00C44AA7" w:rsidRPr="00FB5928" w:rsidRDefault="00C44AA7" w:rsidP="00523C2C">
      <w:pPr>
        <w:spacing w:after="0" w:line="240" w:lineRule="auto"/>
        <w:ind w:right="-518"/>
        <w:jc w:val="both"/>
        <w:rPr>
          <w:rFonts w:ascii="Arial" w:hAnsi="Arial" w:cs="Arial"/>
          <w:sz w:val="24"/>
          <w:szCs w:val="24"/>
        </w:rPr>
      </w:pPr>
    </w:p>
    <w:p w:rsidR="00A54338" w:rsidRPr="00A54338" w:rsidRDefault="000C1ACA" w:rsidP="007D4453">
      <w:pPr>
        <w:spacing w:after="0" w:line="240" w:lineRule="auto"/>
        <w:ind w:right="-518"/>
        <w:jc w:val="both"/>
        <w:rPr>
          <w:rFonts w:ascii="Arial" w:hAnsi="Arial" w:cs="Arial"/>
          <w:sz w:val="24"/>
          <w:szCs w:val="24"/>
        </w:rPr>
      </w:pPr>
      <w:r w:rsidRPr="000133CA">
        <w:rPr>
          <w:rFonts w:ascii="Arial" w:hAnsi="Arial" w:cs="Arial"/>
          <w:b/>
          <w:sz w:val="24"/>
          <w:szCs w:val="24"/>
        </w:rPr>
        <w:t>2.3</w:t>
      </w:r>
      <w:r w:rsidRPr="00FB5928">
        <w:rPr>
          <w:rFonts w:ascii="Arial" w:hAnsi="Arial" w:cs="Arial"/>
          <w:sz w:val="24"/>
          <w:szCs w:val="24"/>
        </w:rPr>
        <w:t xml:space="preserve"> </w:t>
      </w:r>
      <w:r w:rsidR="00F37016" w:rsidRPr="00FB5928">
        <w:rPr>
          <w:rFonts w:ascii="Arial" w:hAnsi="Arial" w:cs="Arial"/>
          <w:sz w:val="24"/>
          <w:szCs w:val="24"/>
        </w:rPr>
        <w:t xml:space="preserve">En relación con los derechos y obligaciones de los partidos políticos nacionales, cuyo cumplimiento se verificó en la revisión de los Informes Anuales, </w:t>
      </w:r>
      <w:r w:rsidRPr="00FB5928">
        <w:rPr>
          <w:rFonts w:ascii="Arial" w:hAnsi="Arial" w:cs="Arial"/>
          <w:sz w:val="24"/>
          <w:szCs w:val="24"/>
        </w:rPr>
        <w:t xml:space="preserve">las disposiciones aplicables de la Ley General de </w:t>
      </w:r>
      <w:r w:rsidR="00F37016" w:rsidRPr="00FB5928">
        <w:rPr>
          <w:rFonts w:ascii="Arial" w:hAnsi="Arial" w:cs="Arial"/>
          <w:sz w:val="24"/>
          <w:szCs w:val="24"/>
        </w:rPr>
        <w:t>Instituciones y Procedimientos Electorales,</w:t>
      </w:r>
      <w:r w:rsidRPr="00FB5928">
        <w:rPr>
          <w:rFonts w:ascii="Arial" w:hAnsi="Arial" w:cs="Arial"/>
          <w:sz w:val="24"/>
          <w:szCs w:val="24"/>
        </w:rPr>
        <w:t xml:space="preserve"> </w:t>
      </w:r>
      <w:r w:rsidR="000133CA">
        <w:rPr>
          <w:rFonts w:ascii="Arial" w:hAnsi="Arial" w:cs="Arial"/>
          <w:sz w:val="24"/>
          <w:szCs w:val="24"/>
        </w:rPr>
        <w:t>la L</w:t>
      </w:r>
      <w:r w:rsidRPr="00FB5928">
        <w:rPr>
          <w:rFonts w:ascii="Arial" w:hAnsi="Arial" w:cs="Arial"/>
          <w:sz w:val="24"/>
          <w:szCs w:val="24"/>
        </w:rPr>
        <w:t>ey General de Partidos Políticos</w:t>
      </w:r>
      <w:r w:rsidR="00472F0D" w:rsidRPr="00FB5928">
        <w:rPr>
          <w:rFonts w:ascii="Arial" w:hAnsi="Arial" w:cs="Arial"/>
          <w:sz w:val="24"/>
          <w:szCs w:val="24"/>
        </w:rPr>
        <w:t>, en sus artículos</w:t>
      </w:r>
      <w:r w:rsidRPr="00FB5928">
        <w:rPr>
          <w:rFonts w:ascii="Arial" w:hAnsi="Arial" w:cs="Arial"/>
          <w:sz w:val="24"/>
          <w:szCs w:val="24"/>
        </w:rPr>
        <w:t xml:space="preserve"> </w:t>
      </w:r>
      <w:r w:rsidR="00472F0D" w:rsidRPr="00FB5928">
        <w:rPr>
          <w:rFonts w:ascii="Arial" w:hAnsi="Arial" w:cs="Arial"/>
          <w:b/>
          <w:sz w:val="24"/>
          <w:szCs w:val="24"/>
        </w:rPr>
        <w:t>1</w:t>
      </w:r>
      <w:r w:rsidR="00472F0D" w:rsidRPr="00FB5928">
        <w:rPr>
          <w:rFonts w:ascii="Arial" w:hAnsi="Arial" w:cs="Arial"/>
          <w:sz w:val="24"/>
          <w:szCs w:val="24"/>
        </w:rPr>
        <w:t xml:space="preserve">, inciso f), la presente Ley es de orden público y de observancia general en el territorio nacional, y tiene por objeto regular las disposiciones constitucionales aplicables a los partidos políticos nacionales y locales, en materia de fiscalización de sus ingresos y egresos; </w:t>
      </w:r>
      <w:r w:rsidR="00472F0D" w:rsidRPr="00FB5928">
        <w:rPr>
          <w:rFonts w:ascii="Arial" w:hAnsi="Arial" w:cs="Arial"/>
          <w:b/>
          <w:sz w:val="24"/>
          <w:szCs w:val="24"/>
        </w:rPr>
        <w:t>3</w:t>
      </w:r>
      <w:r w:rsidR="00472F0D" w:rsidRPr="00FB5928">
        <w:rPr>
          <w:rFonts w:ascii="Arial" w:hAnsi="Arial" w:cs="Arial"/>
          <w:sz w:val="24"/>
          <w:szCs w:val="24"/>
        </w:rPr>
        <w:t>, 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ciudadanos, hacer posible el acceso de éstos al ejercicio del poder público</w:t>
      </w:r>
      <w:r w:rsidR="00AE0E0B" w:rsidRPr="00FB5928">
        <w:rPr>
          <w:rFonts w:ascii="Arial" w:hAnsi="Arial" w:cs="Arial"/>
          <w:sz w:val="24"/>
          <w:szCs w:val="24"/>
        </w:rPr>
        <w:t xml:space="preserve">; Artículo 23, inciso c), d) y l), son derechos de los partidos políticos, gozar de facultades para regular su vida interna y determinar su organización interior y los procedimientos correspondientes; acceder a las prerrogativas y recibir el financiamiento público en los términos del artículo 41 de la Constitución, esta Ley y demás leyes federales o locales aplicables. 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 y los demás que les otorguen la Constitución y las leyes; 25, incisos k), n), s) y u), son obligaciones de los partidos políticos, permitir la práctica de auditorías y verificaciones por los órganos del Instituto facultados para ello, o de los Organismos Públicos Locales cuando se deleguen en éstos las facultades de fiscalización previstas en el artículo 41 de la Constitución para el Instituto, así como entregar la documentación que dichos órganos les requieran respecto a sus ingresos y egresos; aplicar el financiamiento de que dispongan exclusivamente para los fines que les hayan sido entregados; elaborar y entregar los informes de origen y uso de recursos </w:t>
      </w:r>
      <w:r w:rsidR="00AE0E0B" w:rsidRPr="00FB5928">
        <w:rPr>
          <w:rFonts w:ascii="Arial" w:hAnsi="Arial" w:cs="Arial"/>
          <w:sz w:val="24"/>
          <w:szCs w:val="24"/>
        </w:rPr>
        <w:lastRenderedPageBreak/>
        <w:t>a que se refiere la presente y las demás que establezcan las leyes federales o locales aplicables; 26, numeral 1, inciso b), son prerrogativas de los partidos políticos, participar, en los términos de esta Ley, del financiamiento público correspondiente para sus actividades;</w:t>
      </w:r>
      <w:r w:rsidR="004B31F7" w:rsidRPr="00FB5928">
        <w:rPr>
          <w:rFonts w:ascii="Arial" w:hAnsi="Arial" w:cs="Arial"/>
          <w:sz w:val="24"/>
          <w:szCs w:val="24"/>
        </w:rPr>
        <w:t xml:space="preserve"> 43, inciso c), entre los órganos internos de los partidos políticos deberán contemplarse, cuando menos, los siguientes: (…) un órgano responsable de la administración de su patrimonio y recursos financieros y de la presentación de los informes de ingresos y egresos trimestrales y anuales, de precampaña y campaña;</w:t>
      </w:r>
      <w:r w:rsidR="00F279C7" w:rsidRPr="00FB5928">
        <w:t xml:space="preserve"> </w:t>
      </w:r>
      <w:r w:rsidR="00F279C7" w:rsidRPr="00FB5928">
        <w:rPr>
          <w:rFonts w:ascii="Arial" w:hAnsi="Arial" w:cs="Arial"/>
          <w:sz w:val="24"/>
          <w:szCs w:val="24"/>
        </w:rPr>
        <w:t>artículo 50, los partidos políticos tienen derecho a recibir, para desarrollar sus actividades, financiamiento público que se distribuirá de manera equitativa, conforme a lo establecido en el artículo 41, Base II de la Constitución, así como lo dispuesto en las constituciones locales; el financiamiento público deberá prevalecer sobre otros tipos de financiamiento y será destinado para el sostenimiento de actividades ordinarias permanentes, gastos de procesos electorales y para actividades específicas como entidades</w:t>
      </w:r>
      <w:r w:rsidR="000E28F2" w:rsidRPr="00FB5928">
        <w:rPr>
          <w:rFonts w:ascii="Arial" w:hAnsi="Arial" w:cs="Arial"/>
          <w:sz w:val="24"/>
          <w:szCs w:val="24"/>
        </w:rPr>
        <w:t xml:space="preserve"> de interés público; 53, además los partidos políticos podrán recibir financiamiento que no provenga del erario público, con las modalidades siguientes: a) Financiamiento por la militancia; b) Financiamiento de simpatizantes; c) Autofinanciamiento, y d) Financiamiento por rendimientos financieros, fondos y fideicomisos; 54, no podrán realizar aportaciones o donativos a los partidos políticos ni a los aspirantes, precandidatos o candidatos a cargos de elección popular, en dinero o en especie, por sí o por interpósita persona y bajo ninguna circunstancia: a)</w:t>
      </w:r>
      <w:r w:rsidR="000E28F2" w:rsidRPr="00FB5928">
        <w:rPr>
          <w:rFonts w:ascii="Arial" w:hAnsi="Arial" w:cs="Arial"/>
          <w:sz w:val="24"/>
          <w:szCs w:val="24"/>
        </w:rPr>
        <w:tab/>
        <w:t>Los poderes Ejecutivo, Legislativo y Judicial de la Federación y de las entidades federativas, y los ayuntamientos, salvo en el caso del financiamiento público establecido en la Constitución y esta Ley; b) Las dependencias, entidades u organismos de la Administración Pública Federal, estatal o municipal, centralizada o paraestatal, y los órganos de gobierno del Distrito Federal; c) Los organismos autónomos federales, estatales y del Distrito Federal; d) Los partidos políticos, personas físicas o morales extranjeras; e) Los organismos internacionales de cualquier naturaleza; f) Las personas morales, y g) Las personas que vivan o trabajen en el extranjero; los partidos políticos no podrán solicitar créditos provenientes de la banca de desarrollo para el financiamiento de sus actividades; 55 numeral 1, los partidos políticos no podrán recibir aportaciones de personas no identificadas; 72, los partidos políticos deberán reportar los ingresos y gastos del financiamiento para actividades ordinarias</w:t>
      </w:r>
      <w:r w:rsidR="00A54338" w:rsidRPr="00FB5928">
        <w:rPr>
          <w:rFonts w:ascii="Arial" w:hAnsi="Arial" w:cs="Arial"/>
          <w:sz w:val="24"/>
          <w:szCs w:val="24"/>
        </w:rPr>
        <w:t xml:space="preserve">, en su totalidad; 77, numeral 2, 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a través de la Comisión de Fiscalización la cual estará a cargo de la elaboración y presentación al Consejo General del dictamen consolidado y proyecto de resolución de los diversos informes que están obligados a presentar los partidos políticos; 78, numeral 1, inciso b), fracciones I, II y III, los partidos políticos deberán de presentar sus informe anual de gasto ordinario a más tardar dentro de los sesenta días siguientes al último día de diciembre del año del ejercicio que se reporte, en el informe de gastos ordinarios deberán reportar los ingresos totales y gastos ordinarios que los partidos hayan realizado durante el ejercicio objeto del informe; asimismo, presentarán el estado consolidado de situación patrimonial en el que se manifiesten los activos, pasivos y patrimonio, así como un informe detallado de los bienes inmuebles propiedad del partido que corresponda; 80, numeral 1, inciso b), el procedimiento para la presentación y revisión de los informes de los partidos políticos se sujetará a las </w:t>
      </w:r>
      <w:r w:rsidR="00A54338" w:rsidRPr="00FB5928">
        <w:rPr>
          <w:rFonts w:ascii="Arial" w:hAnsi="Arial" w:cs="Arial"/>
          <w:sz w:val="24"/>
          <w:szCs w:val="24"/>
        </w:rPr>
        <w:lastRenderedPageBreak/>
        <w:t>siguientes reglas: una vez entregados los informes anuales, la Unidad Técnica tendrá un término de sesenta días para su revisión y estará facultado en todo momento para solicitar al órgano previsto en el artículo 43, inciso c) de esta Ley de cada partido, la documentación necesaria para comprobar la veracidad de lo reportado en los informes; si durante la revisión de los informes la Unidad Técnica advierte la existencia de errores u omisiones técnicas, prevendrá al partido político que haya incurrido en ellos para que en un plazo de diez días, contados a partir de dicha prevención, presente las aclaraciones o rectificaciones que considere pertinentes; la Unidad Técnica está obligada a informar al partido político si las aclaraciones o rectificaciones realizadas por éste subsanan los errores u omisiones encontrados, otorgándole, en su caso, un plazo improrrogable de cinco días para que los subsane. La Unidad Técnica informará igualmente del resultado antes del vencimiento del plazo para la elaboración del dictamen consolidado a que se refiere la fracción siguiente; una vez concluido el plazo referido en la fracción I de este inciso o, en su caso, el concedido para la rectificación de errores u omisiones, contará con un plazo de veinte días para emitir el dictamen consolidado, así como el proyecto de resolución respectivo, para someterlos a consideración de la Comisión de Fiscalización; la Comisión de Fiscalización contará con diez días para aprobar los proyectos emitidos por la Unidad Técnica, y una vez concluido el plazo de referencia, la Comisión de Fiscalización presentará en un término de setenta y dos horas, el proyecto ante el Consejo General, el cual contará con diez días</w:t>
      </w:r>
      <w:r w:rsidR="007D4453" w:rsidRPr="00FB5928">
        <w:rPr>
          <w:rFonts w:ascii="Arial" w:hAnsi="Arial" w:cs="Arial"/>
          <w:sz w:val="24"/>
          <w:szCs w:val="24"/>
        </w:rPr>
        <w:t xml:space="preserve"> para su discusión y aprobación; todo lo anterior, en relación con el artículo 443, incisos a), c), d), l), m), y n)  de la Ley General de Instituciones y Procedimientos Electorales, que establece que constituyen infracciones de los partidos políticos a la presente Ley, el incumplimiento de las obligaciones señaladas en la Ley General de Partidos Políticos y demás disposiciones aplicables de esta Ley; el incumplimiento de las obligaciones o la infracción de las prohibiciones y topes que en materia de financiamiento y fiscalización les impone la presente Ley; no presentar los informes trimestrales, anuales, de precampaña o de campaña, o no atender los requerimientos de información de la unidad de fiscalización del Instituto, en los términos y plazos previstos en esta Ley y sus reglamentos; el incumplimiento de las reglas establecidas para el manejo y comprobación de sus recursos o para la entrega de la información sobre el origen, monto y destino de los mismos; la omisión o el incumplimiento de la obligación de proporcionar en tiempo y forma, la información que les sea solicitada por los órganos del Instituto, y la comisión de cualquier otra falta de las previstas en esta Ley.</w:t>
      </w:r>
    </w:p>
    <w:p w:rsidR="000E28F2" w:rsidRPr="000E28F2" w:rsidRDefault="000E28F2" w:rsidP="00A54338">
      <w:pPr>
        <w:spacing w:after="0" w:line="240" w:lineRule="auto"/>
        <w:ind w:right="-518"/>
        <w:jc w:val="both"/>
        <w:rPr>
          <w:rFonts w:ascii="Arial" w:hAnsi="Arial" w:cs="Arial"/>
          <w:sz w:val="24"/>
          <w:szCs w:val="24"/>
        </w:rPr>
      </w:pPr>
    </w:p>
    <w:p w:rsidR="000E28F2" w:rsidRPr="000E28F2" w:rsidRDefault="000E28F2" w:rsidP="000E28F2">
      <w:pPr>
        <w:spacing w:after="0" w:line="240" w:lineRule="auto"/>
        <w:ind w:right="-518"/>
        <w:jc w:val="both"/>
        <w:rPr>
          <w:rFonts w:ascii="Arial" w:hAnsi="Arial" w:cs="Arial"/>
          <w:sz w:val="24"/>
          <w:szCs w:val="24"/>
        </w:rPr>
      </w:pPr>
    </w:p>
    <w:p w:rsidR="000E28F2" w:rsidRDefault="000E28F2"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150EB4" w:rsidRDefault="00150EB4" w:rsidP="000E28F2">
      <w:pPr>
        <w:spacing w:after="0" w:line="240" w:lineRule="auto"/>
        <w:ind w:right="-518"/>
        <w:jc w:val="both"/>
        <w:rPr>
          <w:rFonts w:ascii="Arial" w:hAnsi="Arial" w:cs="Arial"/>
          <w:sz w:val="24"/>
          <w:szCs w:val="24"/>
        </w:rPr>
      </w:pPr>
    </w:p>
    <w:p w:rsidR="000133CA" w:rsidRDefault="000133CA" w:rsidP="000E28F2">
      <w:pPr>
        <w:spacing w:after="0" w:line="240" w:lineRule="auto"/>
        <w:ind w:right="-518"/>
        <w:jc w:val="both"/>
        <w:rPr>
          <w:rFonts w:ascii="Arial" w:hAnsi="Arial" w:cs="Arial"/>
          <w:sz w:val="24"/>
          <w:szCs w:val="24"/>
        </w:rPr>
      </w:pPr>
    </w:p>
    <w:p w:rsidR="000133CA" w:rsidRDefault="000133CA" w:rsidP="000E28F2">
      <w:pPr>
        <w:spacing w:after="0" w:line="240" w:lineRule="auto"/>
        <w:ind w:right="-518"/>
        <w:jc w:val="both"/>
        <w:rPr>
          <w:rFonts w:ascii="Arial" w:hAnsi="Arial" w:cs="Arial"/>
          <w:sz w:val="24"/>
          <w:szCs w:val="24"/>
        </w:rPr>
      </w:pPr>
    </w:p>
    <w:p w:rsidR="00AA38D6" w:rsidRDefault="00AA38D6" w:rsidP="00523C2C">
      <w:pPr>
        <w:spacing w:after="0" w:line="240" w:lineRule="auto"/>
        <w:ind w:right="-518"/>
        <w:jc w:val="both"/>
        <w:rPr>
          <w:rFonts w:ascii="Arial" w:hAnsi="Arial" w:cs="Arial"/>
          <w:sz w:val="24"/>
          <w:szCs w:val="24"/>
        </w:rPr>
      </w:pPr>
    </w:p>
    <w:p w:rsidR="00AA38D6" w:rsidRPr="00FB5928" w:rsidRDefault="000133CA" w:rsidP="00FB5928">
      <w:pPr>
        <w:pStyle w:val="Prrafodelista"/>
        <w:spacing w:before="29"/>
        <w:ind w:left="426" w:right="-518" w:hanging="426"/>
        <w:jc w:val="both"/>
        <w:rPr>
          <w:rFonts w:ascii="Arial" w:hAnsi="Arial" w:cs="Arial"/>
          <w:b/>
          <w:sz w:val="24"/>
          <w:szCs w:val="24"/>
        </w:rPr>
      </w:pPr>
      <w:r>
        <w:rPr>
          <w:rFonts w:ascii="Arial" w:hAnsi="Arial" w:cs="Arial"/>
          <w:b/>
          <w:sz w:val="24"/>
          <w:szCs w:val="24"/>
        </w:rPr>
        <w:t>2.4</w:t>
      </w:r>
      <w:r w:rsidR="00AA38D6">
        <w:rPr>
          <w:rFonts w:ascii="Arial" w:hAnsi="Arial" w:cs="Arial"/>
          <w:sz w:val="24"/>
          <w:szCs w:val="24"/>
        </w:rPr>
        <w:t xml:space="preserve"> </w:t>
      </w:r>
      <w:r w:rsidR="00AA38D6" w:rsidRPr="00FB5928">
        <w:rPr>
          <w:rFonts w:ascii="Arial" w:hAnsi="Arial" w:cs="Arial"/>
          <w:b/>
          <w:sz w:val="24"/>
          <w:szCs w:val="24"/>
        </w:rPr>
        <w:t>Calendarización de la fiscalización</w:t>
      </w:r>
    </w:p>
    <w:p w:rsidR="00AA38D6" w:rsidRPr="00CE157E" w:rsidRDefault="00AA38D6" w:rsidP="00523C2C">
      <w:pPr>
        <w:ind w:right="-518" w:firstLine="1"/>
        <w:jc w:val="both"/>
        <w:rPr>
          <w:rFonts w:ascii="Arial" w:eastAsia="Arial" w:hAnsi="Arial" w:cs="Arial"/>
        </w:rPr>
      </w:pPr>
      <w:r w:rsidRPr="00CE157E">
        <w:rPr>
          <w:rFonts w:ascii="Arial" w:eastAsia="Arial" w:hAnsi="Arial" w:cs="Arial"/>
          <w:spacing w:val="-1"/>
        </w:rPr>
        <w:t>E</w:t>
      </w:r>
      <w:r w:rsidRPr="00CE157E">
        <w:rPr>
          <w:rFonts w:ascii="Arial" w:eastAsia="Arial" w:hAnsi="Arial" w:cs="Arial"/>
        </w:rPr>
        <w:t>n e</w:t>
      </w:r>
      <w:r w:rsidRPr="00CE157E">
        <w:rPr>
          <w:rFonts w:ascii="Arial" w:eastAsia="Arial" w:hAnsi="Arial" w:cs="Arial"/>
          <w:spacing w:val="1"/>
        </w:rPr>
        <w:t>s</w:t>
      </w:r>
      <w:r w:rsidRPr="00CE157E">
        <w:rPr>
          <w:rFonts w:ascii="Arial" w:eastAsia="Arial" w:hAnsi="Arial" w:cs="Arial"/>
        </w:rPr>
        <w:t>te</w:t>
      </w:r>
      <w:r w:rsidRPr="00CE157E">
        <w:rPr>
          <w:rFonts w:ascii="Arial" w:eastAsia="Arial" w:hAnsi="Arial" w:cs="Arial"/>
          <w:spacing w:val="1"/>
        </w:rPr>
        <w:t xml:space="preserve"> c</w:t>
      </w:r>
      <w:r w:rsidRPr="00CE157E">
        <w:rPr>
          <w:rFonts w:ascii="Arial" w:eastAsia="Arial" w:hAnsi="Arial" w:cs="Arial"/>
          <w:spacing w:val="2"/>
        </w:rPr>
        <w:t>o</w:t>
      </w:r>
      <w:r w:rsidRPr="00CE157E">
        <w:rPr>
          <w:rFonts w:ascii="Arial" w:eastAsia="Arial" w:hAnsi="Arial" w:cs="Arial"/>
        </w:rPr>
        <w:t>nt</w:t>
      </w:r>
      <w:r w:rsidRPr="00CE157E">
        <w:rPr>
          <w:rFonts w:ascii="Arial" w:eastAsia="Arial" w:hAnsi="Arial" w:cs="Arial"/>
          <w:spacing w:val="-1"/>
        </w:rPr>
        <w:t>e</w:t>
      </w:r>
      <w:r w:rsidRPr="00CE157E">
        <w:rPr>
          <w:rFonts w:ascii="Arial" w:eastAsia="Arial" w:hAnsi="Arial" w:cs="Arial"/>
          <w:spacing w:val="1"/>
        </w:rPr>
        <w:t>x</w:t>
      </w:r>
      <w:r w:rsidRPr="00CE157E">
        <w:rPr>
          <w:rFonts w:ascii="Arial" w:eastAsia="Arial" w:hAnsi="Arial" w:cs="Arial"/>
        </w:rPr>
        <w:t>to,</w:t>
      </w:r>
      <w:r w:rsidRPr="00CE157E">
        <w:rPr>
          <w:rFonts w:ascii="Arial" w:eastAsia="Arial" w:hAnsi="Arial" w:cs="Arial"/>
          <w:spacing w:val="2"/>
        </w:rPr>
        <w:t xml:space="preserve"> e</w:t>
      </w:r>
      <w:r w:rsidRPr="00CE157E">
        <w:rPr>
          <w:rFonts w:ascii="Arial" w:eastAsia="Arial" w:hAnsi="Arial" w:cs="Arial"/>
        </w:rPr>
        <w:t>l p</w:t>
      </w:r>
      <w:r w:rsidRPr="00CE157E">
        <w:rPr>
          <w:rFonts w:ascii="Arial" w:eastAsia="Arial" w:hAnsi="Arial" w:cs="Arial"/>
          <w:spacing w:val="3"/>
        </w:rPr>
        <w:t>r</w:t>
      </w:r>
      <w:r w:rsidRPr="00CE157E">
        <w:rPr>
          <w:rFonts w:ascii="Arial" w:eastAsia="Arial" w:hAnsi="Arial" w:cs="Arial"/>
        </w:rPr>
        <w:t>o</w:t>
      </w:r>
      <w:r w:rsidRPr="00CE157E">
        <w:rPr>
          <w:rFonts w:ascii="Arial" w:eastAsia="Arial" w:hAnsi="Arial" w:cs="Arial"/>
          <w:spacing w:val="1"/>
        </w:rPr>
        <w:t>c</w:t>
      </w:r>
      <w:r w:rsidRPr="00CE157E">
        <w:rPr>
          <w:rFonts w:ascii="Arial" w:eastAsia="Arial" w:hAnsi="Arial" w:cs="Arial"/>
        </w:rPr>
        <w:t>e</w:t>
      </w:r>
      <w:r w:rsidRPr="00CE157E">
        <w:rPr>
          <w:rFonts w:ascii="Arial" w:eastAsia="Arial" w:hAnsi="Arial" w:cs="Arial"/>
          <w:spacing w:val="1"/>
        </w:rPr>
        <w:t>s</w:t>
      </w:r>
      <w:r w:rsidRPr="00CE157E">
        <w:rPr>
          <w:rFonts w:ascii="Arial" w:eastAsia="Arial" w:hAnsi="Arial" w:cs="Arial"/>
        </w:rPr>
        <w:t xml:space="preserve">o de </w:t>
      </w:r>
      <w:r w:rsidRPr="00CE157E">
        <w:rPr>
          <w:rFonts w:ascii="Arial" w:eastAsia="Arial" w:hAnsi="Arial" w:cs="Arial"/>
          <w:spacing w:val="2"/>
        </w:rPr>
        <w:t>f</w:t>
      </w:r>
      <w:r w:rsidRPr="00CE157E">
        <w:rPr>
          <w:rFonts w:ascii="Arial" w:eastAsia="Arial" w:hAnsi="Arial" w:cs="Arial"/>
          <w:spacing w:val="-1"/>
        </w:rPr>
        <w:t>i</w:t>
      </w:r>
      <w:r w:rsidRPr="00CE157E">
        <w:rPr>
          <w:rFonts w:ascii="Arial" w:eastAsia="Arial" w:hAnsi="Arial" w:cs="Arial"/>
          <w:spacing w:val="1"/>
        </w:rPr>
        <w:t>sc</w:t>
      </w:r>
      <w:r w:rsidRPr="00CE157E">
        <w:rPr>
          <w:rFonts w:ascii="Arial" w:eastAsia="Arial" w:hAnsi="Arial" w:cs="Arial"/>
        </w:rPr>
        <w:t>a</w:t>
      </w:r>
      <w:r w:rsidRPr="00CE157E">
        <w:rPr>
          <w:rFonts w:ascii="Arial" w:eastAsia="Arial" w:hAnsi="Arial" w:cs="Arial"/>
          <w:spacing w:val="-1"/>
        </w:rPr>
        <w:t>l</w:t>
      </w:r>
      <w:r w:rsidRPr="00CE157E">
        <w:rPr>
          <w:rFonts w:ascii="Arial" w:eastAsia="Arial" w:hAnsi="Arial" w:cs="Arial"/>
          <w:spacing w:val="1"/>
        </w:rPr>
        <w:t>i</w:t>
      </w:r>
      <w:r w:rsidRPr="00CE157E">
        <w:rPr>
          <w:rFonts w:ascii="Arial" w:eastAsia="Arial" w:hAnsi="Arial" w:cs="Arial"/>
          <w:spacing w:val="-1"/>
        </w:rPr>
        <w:t>z</w:t>
      </w:r>
      <w:r w:rsidRPr="00CE157E">
        <w:rPr>
          <w:rFonts w:ascii="Arial" w:eastAsia="Arial" w:hAnsi="Arial" w:cs="Arial"/>
        </w:rPr>
        <w:t>a</w:t>
      </w:r>
      <w:r w:rsidRPr="00CE157E">
        <w:rPr>
          <w:rFonts w:ascii="Arial" w:eastAsia="Arial" w:hAnsi="Arial" w:cs="Arial"/>
          <w:spacing w:val="3"/>
        </w:rPr>
        <w:t>c</w:t>
      </w:r>
      <w:r w:rsidRPr="00CE157E">
        <w:rPr>
          <w:rFonts w:ascii="Arial" w:eastAsia="Arial" w:hAnsi="Arial" w:cs="Arial"/>
          <w:spacing w:val="-1"/>
        </w:rPr>
        <w:t>i</w:t>
      </w:r>
      <w:r w:rsidRPr="00CE157E">
        <w:rPr>
          <w:rFonts w:ascii="Arial" w:eastAsia="Arial" w:hAnsi="Arial" w:cs="Arial"/>
        </w:rPr>
        <w:t xml:space="preserve">ón </w:t>
      </w:r>
      <w:r w:rsidRPr="00CE157E">
        <w:rPr>
          <w:rFonts w:ascii="Arial" w:eastAsia="Arial" w:hAnsi="Arial" w:cs="Arial"/>
          <w:spacing w:val="-3"/>
        </w:rPr>
        <w:t xml:space="preserve">del Informe Anual de Partidos Políticos Nacionales y Locales, </w:t>
      </w:r>
      <w:r w:rsidRPr="00CE157E">
        <w:rPr>
          <w:rFonts w:ascii="Arial" w:eastAsia="Arial" w:hAnsi="Arial" w:cs="Arial"/>
          <w:spacing w:val="1"/>
        </w:rPr>
        <w:t>c</w:t>
      </w:r>
      <w:r w:rsidRPr="00CE157E">
        <w:rPr>
          <w:rFonts w:ascii="Arial" w:eastAsia="Arial" w:hAnsi="Arial" w:cs="Arial"/>
        </w:rPr>
        <w:t>or</w:t>
      </w:r>
      <w:r w:rsidRPr="00CE157E">
        <w:rPr>
          <w:rFonts w:ascii="Arial" w:eastAsia="Arial" w:hAnsi="Arial" w:cs="Arial"/>
          <w:spacing w:val="1"/>
        </w:rPr>
        <w:t>r</w:t>
      </w:r>
      <w:r w:rsidRPr="00CE157E">
        <w:rPr>
          <w:rFonts w:ascii="Arial" w:eastAsia="Arial" w:hAnsi="Arial" w:cs="Arial"/>
        </w:rPr>
        <w:t>e</w:t>
      </w:r>
      <w:r w:rsidRPr="00CE157E">
        <w:rPr>
          <w:rFonts w:ascii="Arial" w:eastAsia="Arial" w:hAnsi="Arial" w:cs="Arial"/>
          <w:spacing w:val="1"/>
        </w:rPr>
        <w:t>s</w:t>
      </w:r>
      <w:r w:rsidRPr="00CE157E">
        <w:rPr>
          <w:rFonts w:ascii="Arial" w:eastAsia="Arial" w:hAnsi="Arial" w:cs="Arial"/>
        </w:rPr>
        <w:t>p</w:t>
      </w:r>
      <w:r w:rsidRPr="00CE157E">
        <w:rPr>
          <w:rFonts w:ascii="Arial" w:eastAsia="Arial" w:hAnsi="Arial" w:cs="Arial"/>
          <w:spacing w:val="1"/>
        </w:rPr>
        <w:t>o</w:t>
      </w:r>
      <w:r w:rsidRPr="00CE157E">
        <w:rPr>
          <w:rFonts w:ascii="Arial" w:eastAsia="Arial" w:hAnsi="Arial" w:cs="Arial"/>
        </w:rPr>
        <w:t>n</w:t>
      </w:r>
      <w:r w:rsidRPr="00CE157E">
        <w:rPr>
          <w:rFonts w:ascii="Arial" w:eastAsia="Arial" w:hAnsi="Arial" w:cs="Arial"/>
          <w:spacing w:val="-1"/>
        </w:rPr>
        <w:t>d</w:t>
      </w:r>
      <w:r w:rsidRPr="00CE157E">
        <w:rPr>
          <w:rFonts w:ascii="Arial" w:eastAsia="Arial" w:hAnsi="Arial" w:cs="Arial"/>
          <w:spacing w:val="1"/>
        </w:rPr>
        <w:t>i</w:t>
      </w:r>
      <w:r w:rsidRPr="00CE157E">
        <w:rPr>
          <w:rFonts w:ascii="Arial" w:eastAsia="Arial" w:hAnsi="Arial" w:cs="Arial"/>
        </w:rPr>
        <w:t>e</w:t>
      </w:r>
      <w:r w:rsidRPr="00CE157E">
        <w:rPr>
          <w:rFonts w:ascii="Arial" w:eastAsia="Arial" w:hAnsi="Arial" w:cs="Arial"/>
          <w:spacing w:val="-1"/>
        </w:rPr>
        <w:t>n</w:t>
      </w:r>
      <w:r w:rsidRPr="00CE157E">
        <w:rPr>
          <w:rFonts w:ascii="Arial" w:eastAsia="Arial" w:hAnsi="Arial" w:cs="Arial"/>
        </w:rPr>
        <w:t xml:space="preserve">te </w:t>
      </w:r>
      <w:r w:rsidRPr="00CE157E">
        <w:rPr>
          <w:rFonts w:ascii="Arial" w:eastAsia="Arial" w:hAnsi="Arial" w:cs="Arial"/>
          <w:spacing w:val="-6"/>
        </w:rPr>
        <w:t xml:space="preserve">a 2015, </w:t>
      </w:r>
      <w:r w:rsidRPr="00CE157E">
        <w:rPr>
          <w:rFonts w:ascii="Arial" w:eastAsia="Arial" w:hAnsi="Arial" w:cs="Arial"/>
          <w:spacing w:val="-1"/>
        </w:rPr>
        <w:t>q</w:t>
      </w:r>
      <w:r w:rsidRPr="00CE157E">
        <w:rPr>
          <w:rFonts w:ascii="Arial" w:eastAsia="Arial" w:hAnsi="Arial" w:cs="Arial"/>
          <w:spacing w:val="2"/>
        </w:rPr>
        <w:t>u</w:t>
      </w:r>
      <w:r w:rsidRPr="00CE157E">
        <w:rPr>
          <w:rFonts w:ascii="Arial" w:eastAsia="Arial" w:hAnsi="Arial" w:cs="Arial"/>
        </w:rPr>
        <w:t>e</w:t>
      </w:r>
      <w:r w:rsidRPr="00CE157E">
        <w:rPr>
          <w:rFonts w:ascii="Arial" w:eastAsia="Arial" w:hAnsi="Arial" w:cs="Arial"/>
          <w:spacing w:val="-1"/>
        </w:rPr>
        <w:t>d</w:t>
      </w:r>
      <w:r>
        <w:rPr>
          <w:rFonts w:ascii="Arial" w:eastAsia="Arial" w:hAnsi="Arial" w:cs="Arial"/>
        </w:rPr>
        <w:t>ó</w:t>
      </w:r>
      <w:r w:rsidRPr="00CE157E">
        <w:rPr>
          <w:rFonts w:ascii="Arial" w:eastAsia="Arial" w:hAnsi="Arial" w:cs="Arial"/>
        </w:rPr>
        <w:t xml:space="preserve"> </w:t>
      </w:r>
      <w:r w:rsidRPr="00CE157E">
        <w:rPr>
          <w:rFonts w:ascii="Arial" w:eastAsia="Arial" w:hAnsi="Arial" w:cs="Arial"/>
          <w:spacing w:val="1"/>
        </w:rPr>
        <w:t>c</w:t>
      </w:r>
      <w:r w:rsidRPr="00CE157E">
        <w:rPr>
          <w:rFonts w:ascii="Arial" w:eastAsia="Arial" w:hAnsi="Arial" w:cs="Arial"/>
        </w:rPr>
        <w:t>o</w:t>
      </w:r>
      <w:r w:rsidRPr="00CE157E">
        <w:rPr>
          <w:rFonts w:ascii="Arial" w:eastAsia="Arial" w:hAnsi="Arial" w:cs="Arial"/>
          <w:spacing w:val="4"/>
        </w:rPr>
        <w:t>m</w:t>
      </w:r>
      <w:r w:rsidRPr="00CE157E">
        <w:rPr>
          <w:rFonts w:ascii="Arial" w:eastAsia="Arial" w:hAnsi="Arial" w:cs="Arial"/>
        </w:rPr>
        <w:t xml:space="preserve">o se </w:t>
      </w:r>
      <w:r w:rsidRPr="00CE157E">
        <w:rPr>
          <w:rFonts w:ascii="Arial" w:eastAsia="Arial" w:hAnsi="Arial" w:cs="Arial"/>
          <w:spacing w:val="-1"/>
        </w:rPr>
        <w:t>d</w:t>
      </w:r>
      <w:r w:rsidRPr="00CE157E">
        <w:rPr>
          <w:rFonts w:ascii="Arial" w:eastAsia="Arial" w:hAnsi="Arial" w:cs="Arial"/>
          <w:spacing w:val="2"/>
        </w:rPr>
        <w:t>e</w:t>
      </w:r>
      <w:r w:rsidRPr="00CE157E">
        <w:rPr>
          <w:rFonts w:ascii="Arial" w:eastAsia="Arial" w:hAnsi="Arial" w:cs="Arial"/>
        </w:rPr>
        <w:t>ta</w:t>
      </w:r>
      <w:r w:rsidRPr="00CE157E">
        <w:rPr>
          <w:rFonts w:ascii="Arial" w:eastAsia="Arial" w:hAnsi="Arial" w:cs="Arial"/>
          <w:spacing w:val="1"/>
        </w:rPr>
        <w:t>l</w:t>
      </w:r>
      <w:r w:rsidRPr="00CE157E">
        <w:rPr>
          <w:rFonts w:ascii="Arial" w:eastAsia="Arial" w:hAnsi="Arial" w:cs="Arial"/>
          <w:spacing w:val="-1"/>
        </w:rPr>
        <w:t>l</w:t>
      </w:r>
      <w:r w:rsidRPr="00CE157E">
        <w:rPr>
          <w:rFonts w:ascii="Arial" w:eastAsia="Arial" w:hAnsi="Arial" w:cs="Arial"/>
        </w:rPr>
        <w:t xml:space="preserve">a a </w:t>
      </w:r>
      <w:r w:rsidRPr="00CE157E">
        <w:rPr>
          <w:rFonts w:ascii="Arial" w:eastAsia="Arial" w:hAnsi="Arial" w:cs="Arial"/>
          <w:spacing w:val="1"/>
        </w:rPr>
        <w:t>c</w:t>
      </w:r>
      <w:r w:rsidRPr="00CE157E">
        <w:rPr>
          <w:rFonts w:ascii="Arial" w:eastAsia="Arial" w:hAnsi="Arial" w:cs="Arial"/>
        </w:rPr>
        <w:t>o</w:t>
      </w:r>
      <w:r w:rsidRPr="00CE157E">
        <w:rPr>
          <w:rFonts w:ascii="Arial" w:eastAsia="Arial" w:hAnsi="Arial" w:cs="Arial"/>
          <w:spacing w:val="-1"/>
        </w:rPr>
        <w:t>n</w:t>
      </w:r>
      <w:r w:rsidRPr="00CE157E">
        <w:rPr>
          <w:rFonts w:ascii="Arial" w:eastAsia="Arial" w:hAnsi="Arial" w:cs="Arial"/>
          <w:spacing w:val="2"/>
        </w:rPr>
        <w:t>t</w:t>
      </w:r>
      <w:r w:rsidRPr="00CE157E">
        <w:rPr>
          <w:rFonts w:ascii="Arial" w:eastAsia="Arial" w:hAnsi="Arial" w:cs="Arial"/>
          <w:spacing w:val="-1"/>
        </w:rPr>
        <w:t>i</w:t>
      </w:r>
      <w:r w:rsidRPr="00CE157E">
        <w:rPr>
          <w:rFonts w:ascii="Arial" w:eastAsia="Arial" w:hAnsi="Arial" w:cs="Arial"/>
        </w:rPr>
        <w:t>n</w:t>
      </w:r>
      <w:r w:rsidRPr="00CE157E">
        <w:rPr>
          <w:rFonts w:ascii="Arial" w:eastAsia="Arial" w:hAnsi="Arial" w:cs="Arial"/>
          <w:spacing w:val="1"/>
        </w:rPr>
        <w:t>u</w:t>
      </w:r>
      <w:r w:rsidRPr="00CE157E">
        <w:rPr>
          <w:rFonts w:ascii="Arial" w:eastAsia="Arial" w:hAnsi="Arial" w:cs="Arial"/>
        </w:rPr>
        <w:t>a</w:t>
      </w:r>
      <w:r w:rsidRPr="00CE157E">
        <w:rPr>
          <w:rFonts w:ascii="Arial" w:eastAsia="Arial" w:hAnsi="Arial" w:cs="Arial"/>
          <w:spacing w:val="1"/>
        </w:rPr>
        <w:t>c</w:t>
      </w:r>
      <w:r w:rsidRPr="00CE157E">
        <w:rPr>
          <w:rFonts w:ascii="Arial" w:eastAsia="Arial" w:hAnsi="Arial" w:cs="Arial"/>
          <w:spacing w:val="-1"/>
        </w:rPr>
        <w:t>i</w:t>
      </w:r>
      <w:r w:rsidRPr="00CE157E">
        <w:rPr>
          <w:rFonts w:ascii="Arial" w:eastAsia="Arial" w:hAnsi="Arial" w:cs="Arial"/>
          <w:spacing w:val="2"/>
        </w:rPr>
        <w:t>ó</w:t>
      </w:r>
      <w:r w:rsidRPr="00CE157E">
        <w:rPr>
          <w:rFonts w:ascii="Arial" w:eastAsia="Arial" w:hAnsi="Arial" w:cs="Arial"/>
        </w:rPr>
        <w:t>n:</w:t>
      </w:r>
    </w:p>
    <w:p w:rsidR="00AA38D6" w:rsidRDefault="00AA38D6" w:rsidP="00AA38D6"/>
    <w:tbl>
      <w:tblPr>
        <w:tblStyle w:val="Tablaconcuadrcula"/>
        <w:tblW w:w="0" w:type="auto"/>
        <w:tblInd w:w="1384" w:type="dxa"/>
        <w:tblLook w:val="04A0" w:firstRow="1" w:lastRow="0" w:firstColumn="1" w:lastColumn="0" w:noHBand="0" w:noVBand="1"/>
      </w:tblPr>
      <w:tblGrid>
        <w:gridCol w:w="7444"/>
      </w:tblGrid>
      <w:tr w:rsidR="00AA38D6" w:rsidRPr="00CE157E" w:rsidTr="00FB5928">
        <w:trPr>
          <w:trHeight w:val="237"/>
        </w:trPr>
        <w:tc>
          <w:tcPr>
            <w:tcW w:w="8046" w:type="dxa"/>
            <w:shd w:val="clear" w:color="auto" w:fill="DEEAF6" w:themeFill="accent1" w:themeFillTint="33"/>
          </w:tcPr>
          <w:p w:rsidR="00AA38D6" w:rsidRPr="00AA38D6" w:rsidRDefault="00AA38D6" w:rsidP="00CB65CA">
            <w:pPr>
              <w:spacing w:line="200" w:lineRule="exact"/>
              <w:ind w:left="34"/>
              <w:jc w:val="center"/>
              <w:rPr>
                <w:rFonts w:ascii="Arial" w:hAnsi="Arial" w:cs="Arial"/>
                <w:b/>
                <w:color w:val="FFFFFF" w:themeColor="background1"/>
                <w:sz w:val="14"/>
                <w:szCs w:val="14"/>
                <w:lang w:val="es-MX"/>
              </w:rPr>
            </w:pPr>
            <w:r w:rsidRPr="00FB5928">
              <w:rPr>
                <w:rFonts w:ascii="Arial" w:hAnsi="Arial" w:cs="Arial"/>
                <w:b/>
                <w:sz w:val="14"/>
                <w:szCs w:val="14"/>
                <w:lang w:val="es-MX"/>
              </w:rPr>
              <w:t>Informe Anual de Partidos Políticos Nacionales y Locales 2015</w:t>
            </w:r>
          </w:p>
        </w:tc>
      </w:tr>
    </w:tbl>
    <w:p w:rsidR="00AA38D6" w:rsidRPr="00CE157E" w:rsidRDefault="00AA38D6" w:rsidP="00AA38D6">
      <w:pPr>
        <w:spacing w:before="49" w:line="180" w:lineRule="exact"/>
        <w:rPr>
          <w:b/>
        </w:rPr>
      </w:pPr>
    </w:p>
    <w:tbl>
      <w:tblPr>
        <w:tblW w:w="8931" w:type="dxa"/>
        <w:tblCellMar>
          <w:left w:w="70" w:type="dxa"/>
          <w:right w:w="70" w:type="dxa"/>
        </w:tblCellMar>
        <w:tblLook w:val="04A0" w:firstRow="1" w:lastRow="0" w:firstColumn="1" w:lastColumn="0" w:noHBand="0" w:noVBand="1"/>
      </w:tblPr>
      <w:tblGrid>
        <w:gridCol w:w="622"/>
        <w:gridCol w:w="760"/>
        <w:gridCol w:w="891"/>
        <w:gridCol w:w="811"/>
        <w:gridCol w:w="1030"/>
        <w:gridCol w:w="1030"/>
        <w:gridCol w:w="957"/>
        <w:gridCol w:w="957"/>
        <w:gridCol w:w="964"/>
        <w:gridCol w:w="909"/>
      </w:tblGrid>
      <w:tr w:rsidR="00FB5928" w:rsidRPr="00CE157E" w:rsidTr="00FB5928">
        <w:trPr>
          <w:trHeight w:val="1131"/>
        </w:trPr>
        <w:tc>
          <w:tcPr>
            <w:tcW w:w="0" w:type="auto"/>
            <w:tcBorders>
              <w:top w:val="nil"/>
              <w:left w:val="nil"/>
              <w:bottom w:val="single" w:sz="4" w:space="0" w:color="auto"/>
              <w:right w:val="nil"/>
            </w:tcBorders>
            <w:shd w:val="clear" w:color="auto" w:fill="auto"/>
            <w:noWrap/>
            <w:vAlign w:val="bottom"/>
            <w:hideMark/>
          </w:tcPr>
          <w:p w:rsidR="00AA38D6" w:rsidRPr="00CE157E" w:rsidRDefault="00AA38D6" w:rsidP="00CB65CA">
            <w:pP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Fecha límite de entrega de sujetos obligados</w:t>
            </w:r>
          </w:p>
        </w:tc>
        <w:tc>
          <w:tcPr>
            <w:tcW w:w="88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Notificación de Oficios de Errores y Omisiones</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Respuesta a Oficios de Errores y Omisiones</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Notificación de Oficios de Errores y Omisiones Improrrogable</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Respuesta a Oficios de Errores y Omisiones Improrrogable</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Dictamen y Resolución a la Comisión de Fiscalización</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Aprobación de la Comisión de Fiscalización</w:t>
            </w:r>
          </w:p>
        </w:tc>
        <w:tc>
          <w:tcPr>
            <w:tcW w:w="0" w:type="auto"/>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Presentación al Consejo General</w:t>
            </w:r>
          </w:p>
        </w:tc>
        <w:tc>
          <w:tcPr>
            <w:tcW w:w="9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38D6" w:rsidRPr="0013227A" w:rsidRDefault="00AA38D6" w:rsidP="00CB65CA">
            <w:pPr>
              <w:jc w:val="center"/>
              <w:rPr>
                <w:rFonts w:ascii="Arial Narrow" w:hAnsi="Arial Narrow"/>
                <w:b/>
                <w:bCs/>
                <w:sz w:val="16"/>
                <w:szCs w:val="16"/>
              </w:rPr>
            </w:pPr>
            <w:r w:rsidRPr="0013227A">
              <w:rPr>
                <w:rFonts w:ascii="Arial Narrow" w:hAnsi="Arial Narrow"/>
                <w:b/>
                <w:bCs/>
                <w:sz w:val="16"/>
                <w:szCs w:val="16"/>
              </w:rPr>
              <w:t>Aprobación del Consejo General</w:t>
            </w:r>
          </w:p>
        </w:tc>
      </w:tr>
      <w:tr w:rsidR="00AA38D6" w:rsidRPr="00CE157E" w:rsidTr="00FB5928">
        <w:trPr>
          <w:trHeight w:val="717"/>
        </w:trPr>
        <w:tc>
          <w:tcPr>
            <w:tcW w:w="0" w:type="auto"/>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A38D6" w:rsidRPr="00CE157E" w:rsidRDefault="00AA38D6" w:rsidP="00CB65CA">
            <w:pPr>
              <w:jc w:val="center"/>
              <w:rPr>
                <w:rFonts w:ascii="Arial Narrow" w:hAnsi="Arial Narrow"/>
                <w:b/>
                <w:bCs/>
                <w:color w:val="FFFFFF"/>
                <w:sz w:val="16"/>
                <w:szCs w:val="16"/>
              </w:rPr>
            </w:pPr>
            <w:r w:rsidRPr="0013227A">
              <w:rPr>
                <w:rFonts w:ascii="Arial Narrow" w:hAnsi="Arial Narrow"/>
                <w:b/>
                <w:bCs/>
                <w:sz w:val="16"/>
                <w:szCs w:val="16"/>
              </w:rPr>
              <w:t>Informe Anual PPN y PPL 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60 días hábiles</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60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10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15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5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20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10 días hábiles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72 horas hábiles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bCs/>
                <w:sz w:val="16"/>
                <w:szCs w:val="16"/>
              </w:rPr>
            </w:pPr>
            <w:r w:rsidRPr="00CE157E">
              <w:rPr>
                <w:rFonts w:ascii="Arial Narrow" w:hAnsi="Arial Narrow"/>
                <w:bCs/>
                <w:sz w:val="16"/>
                <w:szCs w:val="16"/>
              </w:rPr>
              <w:t>10 días hábiles</w:t>
            </w:r>
          </w:p>
        </w:tc>
      </w:tr>
      <w:tr w:rsidR="00AA38D6" w:rsidRPr="00CE157E" w:rsidTr="00FB5928">
        <w:trPr>
          <w:trHeight w:val="818"/>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A38D6" w:rsidRPr="00CE157E" w:rsidRDefault="00AA38D6" w:rsidP="00CB65CA">
            <w:pPr>
              <w:rPr>
                <w:rFonts w:ascii="Arial Narrow" w:hAnsi="Arial Narrow"/>
                <w:b/>
                <w:bCs/>
                <w:color w:val="FFFFFF"/>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Martes 05de abril de 2016</w:t>
            </w:r>
          </w:p>
        </w:tc>
        <w:tc>
          <w:tcPr>
            <w:tcW w:w="885" w:type="dxa"/>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Miércoles 29 de junio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Miércoles 13 de julio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Miércoles 17 de agosto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Miércoles 24 de agosto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Jueves 22 de septiembre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Jueves 06 de octubre de 2016</w:t>
            </w:r>
          </w:p>
        </w:tc>
        <w:tc>
          <w:tcPr>
            <w:tcW w:w="0" w:type="auto"/>
            <w:tcBorders>
              <w:top w:val="nil"/>
              <w:left w:val="nil"/>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Martes 11 de octubre de 2016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8D6" w:rsidRPr="00CE157E" w:rsidRDefault="00AA38D6" w:rsidP="00CB65CA">
            <w:pPr>
              <w:jc w:val="center"/>
              <w:rPr>
                <w:rFonts w:ascii="Arial Narrow" w:hAnsi="Arial Narrow"/>
                <w:sz w:val="16"/>
                <w:szCs w:val="16"/>
              </w:rPr>
            </w:pPr>
            <w:r w:rsidRPr="00CE157E">
              <w:rPr>
                <w:rFonts w:ascii="Arial Narrow" w:hAnsi="Arial Narrow"/>
                <w:sz w:val="16"/>
                <w:szCs w:val="16"/>
              </w:rPr>
              <w:t>Martes 25 de octubre de 2016</w:t>
            </w:r>
          </w:p>
        </w:tc>
      </w:tr>
    </w:tbl>
    <w:p w:rsidR="00AA38D6" w:rsidRDefault="00AA38D6" w:rsidP="00AA38D6">
      <w:pPr>
        <w:rPr>
          <w:rFonts w:ascii="Arial" w:hAnsi="Arial" w:cs="Arial"/>
          <w:b/>
        </w:rPr>
      </w:pPr>
    </w:p>
    <w:p w:rsidR="00AA38D6" w:rsidRPr="00150EB4" w:rsidRDefault="00150EB4" w:rsidP="00150EB4">
      <w:pPr>
        <w:spacing w:after="0" w:line="240" w:lineRule="auto"/>
        <w:jc w:val="both"/>
        <w:rPr>
          <w:rFonts w:ascii="Arial" w:hAnsi="Arial" w:cs="Arial"/>
          <w:sz w:val="24"/>
          <w:szCs w:val="24"/>
        </w:rPr>
      </w:pPr>
      <w:r w:rsidRPr="00150EB4">
        <w:rPr>
          <w:rFonts w:ascii="Arial" w:hAnsi="Arial" w:cs="Arial"/>
          <w:sz w:val="24"/>
          <w:szCs w:val="24"/>
        </w:rPr>
        <w:t>Sin embargo, mediante el Acuerdo INE/CG398/2016, el Consejo General del Instituto Nacional Electoral, aprobó el ajuste a los plazos para la revisión de los informes anuales de ingresos y egresos de los partidos políticos nacionales y locales con acreditación o registro en las entidades federativas, correspondientes al ejercicio dos mil quince, quedando de la siguiente manera:</w:t>
      </w:r>
    </w:p>
    <w:p w:rsidR="00150EB4" w:rsidRPr="00150EB4" w:rsidRDefault="00150EB4" w:rsidP="00150EB4">
      <w:pPr>
        <w:spacing w:after="0" w:line="240" w:lineRule="auto"/>
        <w:jc w:val="both"/>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1023"/>
        <w:gridCol w:w="1201"/>
        <w:gridCol w:w="809"/>
        <w:gridCol w:w="1028"/>
        <w:gridCol w:w="1028"/>
        <w:gridCol w:w="955"/>
        <w:gridCol w:w="955"/>
        <w:gridCol w:w="962"/>
        <w:gridCol w:w="867"/>
      </w:tblGrid>
      <w:tr w:rsidR="00FB5928" w:rsidRPr="00FB5928" w:rsidTr="00D14693">
        <w:trPr>
          <w:trHeight w:val="1356"/>
          <w:jc w:val="center"/>
        </w:trPr>
        <w:tc>
          <w:tcPr>
            <w:tcW w:w="1341" w:type="dxa"/>
            <w:tcBorders>
              <w:top w:val="single" w:sz="4" w:space="0" w:color="auto"/>
              <w:left w:val="single" w:sz="4" w:space="0" w:color="auto"/>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Fecha límite de entrega de sujetos obligados</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Notificación de Oficios de Errores y Omisiones</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Respuesta a Oficios de Errores y Omisiones</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Notificación de Oficios de Errores y Omisiones Improrrogable</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Respuesta a Oficios de Errores y Omisiones Improrrogable</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Dictamen y  Resolución a la Comisión de Fiscalización</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Aprobación de la Comisión de Fiscalización</w:t>
            </w:r>
          </w:p>
        </w:tc>
        <w:tc>
          <w:tcPr>
            <w:tcW w:w="0" w:type="auto"/>
            <w:tcBorders>
              <w:top w:val="single" w:sz="4" w:space="0" w:color="auto"/>
              <w:left w:val="nil"/>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Presentación al Consejo General</w:t>
            </w:r>
          </w:p>
        </w:tc>
        <w:tc>
          <w:tcPr>
            <w:tcW w:w="0" w:type="auto"/>
            <w:tcBorders>
              <w:top w:val="single" w:sz="4" w:space="0" w:color="auto"/>
              <w:left w:val="single" w:sz="4" w:space="0" w:color="auto"/>
              <w:bottom w:val="single" w:sz="2"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Aprobación del Consejo General</w:t>
            </w:r>
          </w:p>
        </w:tc>
      </w:tr>
      <w:tr w:rsidR="00D14693" w:rsidRPr="00FB5928" w:rsidTr="00D14693">
        <w:trPr>
          <w:trHeight w:val="324"/>
          <w:jc w:val="center"/>
        </w:trPr>
        <w:tc>
          <w:tcPr>
            <w:tcW w:w="2229" w:type="dxa"/>
            <w:gridSpan w:val="2"/>
            <w:tcBorders>
              <w:top w:val="single" w:sz="2" w:space="0" w:color="auto"/>
              <w:left w:val="single" w:sz="4" w:space="0" w:color="auto"/>
              <w:bottom w:val="single" w:sz="8" w:space="0" w:color="auto"/>
              <w:right w:val="nil"/>
            </w:tcBorders>
            <w:shd w:val="clear" w:color="auto" w:fill="FFFFFF" w:themeFill="background1"/>
            <w:noWrap/>
            <w:vAlign w:val="center"/>
            <w:hideMark/>
          </w:tcPr>
          <w:p w:rsidR="00D14693" w:rsidRPr="00FB5928" w:rsidRDefault="00D14693" w:rsidP="00E75007">
            <w:pPr>
              <w:jc w:val="center"/>
              <w:rPr>
                <w:rFonts w:ascii="Arial Narrow" w:eastAsia="Times New Roman" w:hAnsi="Arial Narrow" w:cs="Times New Roman"/>
                <w:b/>
                <w:bCs/>
                <w:sz w:val="16"/>
                <w:szCs w:val="12"/>
                <w:lang w:eastAsia="es-MX"/>
              </w:rPr>
            </w:pPr>
            <w:r>
              <w:rPr>
                <w:rFonts w:ascii="Arial Narrow" w:eastAsia="Times New Roman" w:hAnsi="Arial Narrow" w:cs="Times New Roman"/>
                <w:b/>
                <w:bCs/>
                <w:sz w:val="16"/>
                <w:szCs w:val="12"/>
                <w:lang w:eastAsia="es-MX"/>
              </w:rPr>
              <w:t xml:space="preserve">ORDINARIO </w:t>
            </w:r>
            <w:r w:rsidRPr="00FB5928">
              <w:rPr>
                <w:rFonts w:ascii="Arial Narrow" w:eastAsia="Times New Roman" w:hAnsi="Arial Narrow" w:cs="Times New Roman"/>
                <w:b/>
                <w:bCs/>
                <w:sz w:val="16"/>
                <w:szCs w:val="12"/>
                <w:lang w:eastAsia="es-MX"/>
              </w:rPr>
              <w:t>ANUAL FEDERAL</w:t>
            </w: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2" w:space="0" w:color="auto"/>
              <w:left w:val="nil"/>
              <w:bottom w:val="single" w:sz="8" w:space="0" w:color="auto"/>
              <w:right w:val="single" w:sz="4" w:space="0" w:color="auto"/>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r>
      <w:tr w:rsidR="00FB5928" w:rsidRPr="00FB5928" w:rsidTr="00D14693">
        <w:trPr>
          <w:trHeight w:val="312"/>
          <w:jc w:val="center"/>
        </w:trPr>
        <w:tc>
          <w:tcPr>
            <w:tcW w:w="134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60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95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20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48 horas hábiles</w:t>
            </w:r>
          </w:p>
        </w:tc>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r>
      <w:tr w:rsidR="00150EB4" w:rsidRPr="00FB5928" w:rsidTr="00D14693">
        <w:trPr>
          <w:trHeight w:val="588"/>
          <w:jc w:val="center"/>
        </w:trPr>
        <w:tc>
          <w:tcPr>
            <w:tcW w:w="1341" w:type="dxa"/>
            <w:tcBorders>
              <w:top w:val="nil"/>
              <w:left w:val="single" w:sz="4" w:space="0" w:color="auto"/>
              <w:bottom w:val="nil"/>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Martes 05 de abril de 2016</w:t>
            </w:r>
          </w:p>
        </w:tc>
        <w:tc>
          <w:tcPr>
            <w:tcW w:w="0" w:type="auto"/>
            <w:tcBorders>
              <w:top w:val="nil"/>
              <w:left w:val="nil"/>
              <w:bottom w:val="nil"/>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31 de agosto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14 de septiembre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Jueves 06 de octubre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Jueves 13 de octubre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Viernes 11 de noviembre de 2016</w:t>
            </w:r>
          </w:p>
        </w:tc>
        <w:tc>
          <w:tcPr>
            <w:tcW w:w="0" w:type="auto"/>
            <w:tcBorders>
              <w:top w:val="nil"/>
              <w:left w:val="nil"/>
              <w:bottom w:val="nil"/>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Lunes 28 de noviembre de 2016</w:t>
            </w:r>
          </w:p>
        </w:tc>
        <w:tc>
          <w:tcPr>
            <w:tcW w:w="0" w:type="auto"/>
            <w:tcBorders>
              <w:top w:val="nil"/>
              <w:left w:val="nil"/>
              <w:bottom w:val="nil"/>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30 de noviembre de 2016</w:t>
            </w:r>
          </w:p>
        </w:tc>
        <w:tc>
          <w:tcPr>
            <w:tcW w:w="0" w:type="auto"/>
            <w:tcBorders>
              <w:top w:val="single" w:sz="4" w:space="0" w:color="auto"/>
              <w:left w:val="nil"/>
              <w:bottom w:val="nil"/>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14 de diciembre de 2016</w:t>
            </w:r>
          </w:p>
        </w:tc>
      </w:tr>
      <w:tr w:rsidR="00D14693" w:rsidRPr="00FB5928" w:rsidTr="00E5230F">
        <w:trPr>
          <w:trHeight w:val="324"/>
          <w:jc w:val="center"/>
        </w:trPr>
        <w:tc>
          <w:tcPr>
            <w:tcW w:w="2229" w:type="dxa"/>
            <w:gridSpan w:val="2"/>
            <w:tcBorders>
              <w:top w:val="single" w:sz="8" w:space="0" w:color="auto"/>
              <w:left w:val="single" w:sz="4" w:space="0" w:color="auto"/>
              <w:bottom w:val="single" w:sz="8" w:space="0" w:color="auto"/>
              <w:right w:val="nil"/>
            </w:tcBorders>
            <w:shd w:val="clear" w:color="auto" w:fill="FFFFFF" w:themeFill="background1"/>
            <w:noWrap/>
            <w:vAlign w:val="center"/>
            <w:hideMark/>
          </w:tcPr>
          <w:p w:rsidR="00D14693" w:rsidRPr="00FB5928" w:rsidRDefault="00D14693" w:rsidP="00E75007">
            <w:pPr>
              <w:jc w:val="center"/>
              <w:rPr>
                <w:rFonts w:ascii="Arial Narrow" w:eastAsia="Times New Roman" w:hAnsi="Arial Narrow" w:cs="Times New Roman"/>
                <w:b/>
                <w:bCs/>
                <w:sz w:val="16"/>
                <w:szCs w:val="12"/>
                <w:lang w:eastAsia="es-MX"/>
              </w:rPr>
            </w:pPr>
            <w:r w:rsidRPr="00FB5928">
              <w:rPr>
                <w:rFonts w:ascii="Arial Narrow" w:eastAsia="Times New Roman" w:hAnsi="Arial Narrow" w:cs="Times New Roman"/>
                <w:b/>
                <w:bCs/>
                <w:sz w:val="16"/>
                <w:szCs w:val="12"/>
                <w:lang w:eastAsia="es-MX"/>
              </w:rPr>
              <w:t>ORDINARIO ANUAL LOCAL </w:t>
            </w: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nil"/>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c>
          <w:tcPr>
            <w:tcW w:w="0" w:type="auto"/>
            <w:tcBorders>
              <w:top w:val="single" w:sz="8" w:space="0" w:color="auto"/>
              <w:left w:val="nil"/>
              <w:bottom w:val="single" w:sz="8" w:space="0" w:color="auto"/>
              <w:right w:val="single" w:sz="4" w:space="0" w:color="auto"/>
            </w:tcBorders>
            <w:shd w:val="clear" w:color="auto" w:fill="FFFFFF" w:themeFill="background1"/>
            <w:noWrap/>
            <w:vAlign w:val="center"/>
          </w:tcPr>
          <w:p w:rsidR="00D14693" w:rsidRPr="00FB5928" w:rsidRDefault="00D14693" w:rsidP="00E75007">
            <w:pPr>
              <w:jc w:val="center"/>
              <w:rPr>
                <w:rFonts w:ascii="Arial Narrow" w:eastAsia="Times New Roman" w:hAnsi="Arial Narrow" w:cs="Times New Roman"/>
                <w:b/>
                <w:bCs/>
                <w:sz w:val="16"/>
                <w:szCs w:val="12"/>
                <w:lang w:eastAsia="es-MX"/>
              </w:rPr>
            </w:pPr>
          </w:p>
        </w:tc>
      </w:tr>
      <w:tr w:rsidR="00FB5928" w:rsidRPr="00FB5928" w:rsidTr="00D14693">
        <w:trPr>
          <w:trHeight w:val="312"/>
          <w:jc w:val="center"/>
        </w:trPr>
        <w:tc>
          <w:tcPr>
            <w:tcW w:w="134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60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95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5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20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c>
          <w:tcPr>
            <w:tcW w:w="0" w:type="auto"/>
            <w:tcBorders>
              <w:top w:val="nil"/>
              <w:left w:val="nil"/>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48 horas hábiles</w:t>
            </w:r>
          </w:p>
        </w:tc>
        <w:tc>
          <w:tcPr>
            <w:tcW w:w="0" w:type="auto"/>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10 días hábiles</w:t>
            </w:r>
          </w:p>
        </w:tc>
      </w:tr>
      <w:tr w:rsidR="00150EB4" w:rsidRPr="00FB5928" w:rsidTr="00D14693">
        <w:trPr>
          <w:trHeight w:val="588"/>
          <w:jc w:val="center"/>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Martes 05 de abril de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31 de agosto de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14 de septiembre de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Jueves 06 de octubre de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Jueves 13 de octubre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Viernes 11 de noviembre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Lunes 28 de noviembre de 2016</w:t>
            </w:r>
          </w:p>
        </w:tc>
        <w:tc>
          <w:tcPr>
            <w:tcW w:w="0" w:type="auto"/>
            <w:tcBorders>
              <w:top w:val="nil"/>
              <w:left w:val="nil"/>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30 de noviembre de 2016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50EB4" w:rsidRPr="00FB5928" w:rsidRDefault="00150EB4" w:rsidP="00E75007">
            <w:pPr>
              <w:jc w:val="center"/>
              <w:rPr>
                <w:rFonts w:ascii="Arial Narrow" w:eastAsia="Times New Roman" w:hAnsi="Arial Narrow" w:cs="Times New Roman"/>
                <w:sz w:val="16"/>
                <w:szCs w:val="12"/>
                <w:lang w:eastAsia="es-MX"/>
              </w:rPr>
            </w:pPr>
            <w:r w:rsidRPr="00FB5928">
              <w:rPr>
                <w:rFonts w:ascii="Arial Narrow" w:eastAsia="Times New Roman" w:hAnsi="Arial Narrow" w:cs="Times New Roman"/>
                <w:sz w:val="16"/>
                <w:szCs w:val="12"/>
                <w:lang w:eastAsia="es-MX"/>
              </w:rPr>
              <w:t>Miércoles 14 de diciembre de 2016</w:t>
            </w:r>
          </w:p>
        </w:tc>
      </w:tr>
    </w:tbl>
    <w:p w:rsidR="00150EB4" w:rsidRPr="00F37016" w:rsidRDefault="00150EB4" w:rsidP="000369D5">
      <w:pPr>
        <w:spacing w:after="0" w:line="240" w:lineRule="auto"/>
        <w:jc w:val="both"/>
        <w:rPr>
          <w:rFonts w:ascii="Arial" w:hAnsi="Arial" w:cs="Arial"/>
          <w:b/>
          <w:sz w:val="24"/>
          <w:szCs w:val="24"/>
        </w:rPr>
      </w:pPr>
    </w:p>
    <w:sectPr w:rsidR="00150EB4" w:rsidRPr="00F37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74D"/>
    <w:multiLevelType w:val="multilevel"/>
    <w:tmpl w:val="18D2846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E561C3"/>
    <w:multiLevelType w:val="multilevel"/>
    <w:tmpl w:val="8B107FF2"/>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61B3589"/>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 w15:restartNumberingAfterBreak="0">
    <w:nsid w:val="28B84D9B"/>
    <w:multiLevelType w:val="hybridMultilevel"/>
    <w:tmpl w:val="51349A70"/>
    <w:lvl w:ilvl="0" w:tplc="63E0F48C">
      <w:start w:val="1"/>
      <w:numFmt w:val="decimal"/>
      <w:lvlText w:val="%1"/>
      <w:lvlJc w:val="left"/>
      <w:pPr>
        <w:ind w:left="4320" w:hanging="360"/>
      </w:pPr>
      <w:rPr>
        <w:rFonts w:hint="default"/>
      </w:rPr>
    </w:lvl>
    <w:lvl w:ilvl="1" w:tplc="080A0019" w:tentative="1">
      <w:start w:val="1"/>
      <w:numFmt w:val="lowerLetter"/>
      <w:lvlText w:val="%2."/>
      <w:lvlJc w:val="left"/>
      <w:pPr>
        <w:ind w:left="5040" w:hanging="360"/>
      </w:pPr>
    </w:lvl>
    <w:lvl w:ilvl="2" w:tplc="080A001B">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4" w15:restartNumberingAfterBreak="0">
    <w:nsid w:val="2F8E0598"/>
    <w:multiLevelType w:val="multilevel"/>
    <w:tmpl w:val="8884A218"/>
    <w:lvl w:ilvl="0">
      <w:start w:val="5"/>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375C136D"/>
    <w:multiLevelType w:val="hybridMultilevel"/>
    <w:tmpl w:val="05EA645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1A54DC"/>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7" w15:restartNumberingAfterBreak="0">
    <w:nsid w:val="3DFE0AF0"/>
    <w:multiLevelType w:val="hybridMultilevel"/>
    <w:tmpl w:val="9BA6DDEE"/>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 w15:restartNumberingAfterBreak="0">
    <w:nsid w:val="48E37E5B"/>
    <w:multiLevelType w:val="multilevel"/>
    <w:tmpl w:val="F1F2641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56EF639A"/>
    <w:multiLevelType w:val="multilevel"/>
    <w:tmpl w:val="F1F264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58EB6B51"/>
    <w:multiLevelType w:val="hybridMultilevel"/>
    <w:tmpl w:val="9EAEFD02"/>
    <w:lvl w:ilvl="0" w:tplc="43742E42">
      <w:start w:val="29"/>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3C0D5E"/>
    <w:multiLevelType w:val="hybridMultilevel"/>
    <w:tmpl w:val="1F2A1A4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2" w15:restartNumberingAfterBreak="0">
    <w:nsid w:val="73834ADC"/>
    <w:multiLevelType w:val="hybridMultilevel"/>
    <w:tmpl w:val="BD70FD10"/>
    <w:lvl w:ilvl="0" w:tplc="A282BDE0">
      <w:start w:val="1"/>
      <w:numFmt w:val="decimal"/>
      <w:lvlText w:val="%1."/>
      <w:lvlJc w:val="left"/>
      <w:pPr>
        <w:ind w:left="4680" w:hanging="360"/>
      </w:pPr>
      <w:rPr>
        <w:rFonts w:hint="default"/>
      </w:r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num w:numId="1">
    <w:abstractNumId w:val="5"/>
  </w:num>
  <w:num w:numId="2">
    <w:abstractNumId w:val="8"/>
  </w:num>
  <w:num w:numId="3">
    <w:abstractNumId w:val="2"/>
  </w:num>
  <w:num w:numId="4">
    <w:abstractNumId w:val="11"/>
  </w:num>
  <w:num w:numId="5">
    <w:abstractNumId w:val="6"/>
  </w:num>
  <w:num w:numId="6">
    <w:abstractNumId w:val="7"/>
  </w:num>
  <w:num w:numId="7">
    <w:abstractNumId w:val="9"/>
  </w:num>
  <w:num w:numId="8">
    <w:abstractNumId w:val="1"/>
  </w:num>
  <w:num w:numId="9">
    <w:abstractNumId w:val="3"/>
  </w:num>
  <w:num w:numId="10">
    <w:abstractNumId w:val="12"/>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2F"/>
    <w:rsid w:val="000061DC"/>
    <w:rsid w:val="000133CA"/>
    <w:rsid w:val="00021054"/>
    <w:rsid w:val="000369D5"/>
    <w:rsid w:val="000C1ACA"/>
    <w:rsid w:val="000E28F2"/>
    <w:rsid w:val="000F0663"/>
    <w:rsid w:val="00150EB4"/>
    <w:rsid w:val="00180307"/>
    <w:rsid w:val="001E0F72"/>
    <w:rsid w:val="002273DC"/>
    <w:rsid w:val="002A2A92"/>
    <w:rsid w:val="003128E6"/>
    <w:rsid w:val="003F476A"/>
    <w:rsid w:val="0043532B"/>
    <w:rsid w:val="0045334B"/>
    <w:rsid w:val="00463D2A"/>
    <w:rsid w:val="00472F0D"/>
    <w:rsid w:val="004B31F7"/>
    <w:rsid w:val="004D422F"/>
    <w:rsid w:val="004F3D5F"/>
    <w:rsid w:val="00523C2C"/>
    <w:rsid w:val="005300EA"/>
    <w:rsid w:val="005935CC"/>
    <w:rsid w:val="005A6533"/>
    <w:rsid w:val="005C4D11"/>
    <w:rsid w:val="00612021"/>
    <w:rsid w:val="00642AC7"/>
    <w:rsid w:val="00694417"/>
    <w:rsid w:val="006E0F06"/>
    <w:rsid w:val="00713666"/>
    <w:rsid w:val="007B218A"/>
    <w:rsid w:val="007C2757"/>
    <w:rsid w:val="007D4453"/>
    <w:rsid w:val="007D7C3C"/>
    <w:rsid w:val="007E4E13"/>
    <w:rsid w:val="00811712"/>
    <w:rsid w:val="0089002F"/>
    <w:rsid w:val="008E50E2"/>
    <w:rsid w:val="009604F1"/>
    <w:rsid w:val="00A166D8"/>
    <w:rsid w:val="00A22090"/>
    <w:rsid w:val="00A54338"/>
    <w:rsid w:val="00A57919"/>
    <w:rsid w:val="00A95546"/>
    <w:rsid w:val="00AA38D6"/>
    <w:rsid w:val="00AD0248"/>
    <w:rsid w:val="00AE0E0B"/>
    <w:rsid w:val="00B4645B"/>
    <w:rsid w:val="00BA1090"/>
    <w:rsid w:val="00BC61AB"/>
    <w:rsid w:val="00C1403F"/>
    <w:rsid w:val="00C44AA7"/>
    <w:rsid w:val="00C57DDF"/>
    <w:rsid w:val="00CA626A"/>
    <w:rsid w:val="00CE2DB2"/>
    <w:rsid w:val="00CF19EC"/>
    <w:rsid w:val="00CF7288"/>
    <w:rsid w:val="00D06E80"/>
    <w:rsid w:val="00D14693"/>
    <w:rsid w:val="00D1486D"/>
    <w:rsid w:val="00D919ED"/>
    <w:rsid w:val="00D94267"/>
    <w:rsid w:val="00DC3BD5"/>
    <w:rsid w:val="00E66185"/>
    <w:rsid w:val="00E73C6C"/>
    <w:rsid w:val="00E76CCD"/>
    <w:rsid w:val="00EA5902"/>
    <w:rsid w:val="00EC7F03"/>
    <w:rsid w:val="00F00D18"/>
    <w:rsid w:val="00F279C7"/>
    <w:rsid w:val="00F37016"/>
    <w:rsid w:val="00F47C4A"/>
    <w:rsid w:val="00FB3154"/>
    <w:rsid w:val="00FB5928"/>
    <w:rsid w:val="00FD409E"/>
    <w:rsid w:val="00FD5E80"/>
    <w:rsid w:val="00FE5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066DE-F61F-4779-8582-5C802D0C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4D422F"/>
    <w:pPr>
      <w:ind w:left="720"/>
      <w:contextualSpacing/>
    </w:pPr>
  </w:style>
  <w:style w:type="paragraph" w:styleId="Textodeglobo">
    <w:name w:val="Balloon Text"/>
    <w:basedOn w:val="Normal"/>
    <w:link w:val="TextodegloboCar"/>
    <w:uiPriority w:val="99"/>
    <w:semiHidden/>
    <w:unhideWhenUsed/>
    <w:rsid w:val="00DC3B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BD5"/>
    <w:rPr>
      <w:rFonts w:ascii="Segoe UI" w:hAnsi="Segoe UI" w:cs="Segoe UI"/>
      <w:sz w:val="18"/>
      <w:szCs w:val="18"/>
    </w:rPr>
  </w:style>
  <w:style w:type="paragraph" w:styleId="Descripcin">
    <w:name w:val="caption"/>
    <w:basedOn w:val="Normal"/>
    <w:next w:val="Normal"/>
    <w:uiPriority w:val="35"/>
    <w:unhideWhenUsed/>
    <w:qFormat/>
    <w:rsid w:val="006E0F06"/>
    <w:pPr>
      <w:spacing w:after="0" w:line="240" w:lineRule="auto"/>
      <w:jc w:val="both"/>
    </w:pPr>
    <w:rPr>
      <w:rFonts w:ascii="Arial" w:eastAsia="Times New Roman" w:hAnsi="Arial" w:cs="Times New Roman"/>
      <w:sz w:val="28"/>
      <w:szCs w:val="20"/>
      <w:lang w:eastAsia="es-ES"/>
    </w:rPr>
  </w:style>
  <w:style w:type="paragraph" w:styleId="Revisin">
    <w:name w:val="Revision"/>
    <w:hidden/>
    <w:uiPriority w:val="99"/>
    <w:semiHidden/>
    <w:rsid w:val="00F00D18"/>
    <w:pPr>
      <w:spacing w:after="0" w:line="240" w:lineRule="auto"/>
    </w:pPr>
  </w:style>
  <w:style w:type="character" w:styleId="Refdecomentario">
    <w:name w:val="annotation reference"/>
    <w:basedOn w:val="Fuentedeprrafopredeter"/>
    <w:uiPriority w:val="99"/>
    <w:semiHidden/>
    <w:unhideWhenUsed/>
    <w:rsid w:val="0043532B"/>
    <w:rPr>
      <w:sz w:val="16"/>
      <w:szCs w:val="16"/>
    </w:rPr>
  </w:style>
  <w:style w:type="paragraph" w:styleId="Textocomentario">
    <w:name w:val="annotation text"/>
    <w:basedOn w:val="Normal"/>
    <w:link w:val="TextocomentarioCar"/>
    <w:uiPriority w:val="99"/>
    <w:semiHidden/>
    <w:unhideWhenUsed/>
    <w:rsid w:val="00435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32B"/>
    <w:rPr>
      <w:sz w:val="20"/>
      <w:szCs w:val="20"/>
    </w:rPr>
  </w:style>
  <w:style w:type="paragraph" w:styleId="Asuntodelcomentario">
    <w:name w:val="annotation subject"/>
    <w:basedOn w:val="Textocomentario"/>
    <w:next w:val="Textocomentario"/>
    <w:link w:val="AsuntodelcomentarioCar"/>
    <w:uiPriority w:val="99"/>
    <w:semiHidden/>
    <w:unhideWhenUsed/>
    <w:rsid w:val="0043532B"/>
    <w:rPr>
      <w:b/>
      <w:bCs/>
    </w:rPr>
  </w:style>
  <w:style w:type="character" w:customStyle="1" w:styleId="AsuntodelcomentarioCar">
    <w:name w:val="Asunto del comentario Car"/>
    <w:basedOn w:val="TextocomentarioCar"/>
    <w:link w:val="Asuntodelcomentario"/>
    <w:uiPriority w:val="99"/>
    <w:semiHidden/>
    <w:rsid w:val="0043532B"/>
    <w:rPr>
      <w:b/>
      <w:bCs/>
      <w:sz w:val="20"/>
      <w:szCs w:val="20"/>
    </w:rPr>
  </w:style>
  <w:style w:type="character" w:customStyle="1" w:styleId="PrrafodelistaCar">
    <w:name w:val="Párrafo de lista Car"/>
    <w:aliases w:val="CNBV Parrafo1 Car,Párrafo de lista1 Car"/>
    <w:link w:val="Prrafodelista"/>
    <w:uiPriority w:val="34"/>
    <w:rsid w:val="00AA38D6"/>
  </w:style>
  <w:style w:type="table" w:styleId="Tablaconcuadrcula">
    <w:name w:val="Table Grid"/>
    <w:basedOn w:val="Tablanormal"/>
    <w:uiPriority w:val="39"/>
    <w:rsid w:val="00AA38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4AF8-BEBB-404E-BE18-36083AC5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3180</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JAIRO GONZALEZ</cp:lastModifiedBy>
  <cp:revision>3</cp:revision>
  <cp:lastPrinted>2016-11-08T18:35:00Z</cp:lastPrinted>
  <dcterms:created xsi:type="dcterms:W3CDTF">2016-11-11T19:28:00Z</dcterms:created>
  <dcterms:modified xsi:type="dcterms:W3CDTF">2016-11-11T19:31:00Z</dcterms:modified>
</cp:coreProperties>
</file>